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00BCB" w14:textId="42D5AADA" w:rsidR="00CA4027" w:rsidRPr="009E4E6A" w:rsidRDefault="00214F17" w:rsidP="009E4E6A">
      <w:pPr>
        <w:pStyle w:val="ListParagraph"/>
        <w:numPr>
          <w:ilvl w:val="0"/>
          <w:numId w:val="10"/>
        </w:numPr>
        <w:spacing w:after="0" w:line="240" w:lineRule="auto"/>
        <w:rPr>
          <w:rFonts w:ascii="Calibri" w:hAnsi="Calibri"/>
        </w:rPr>
      </w:pPr>
      <w:bookmarkStart w:id="0" w:name="_GoBack"/>
      <w:bookmarkEnd w:id="0"/>
      <w:r w:rsidRPr="009E4E6A">
        <w:rPr>
          <w:rFonts w:ascii="Calibri" w:hAnsi="Calibri"/>
        </w:rPr>
        <w:t>Orange, Inc., a calen</w:t>
      </w:r>
      <w:r w:rsidR="00E024DE" w:rsidRPr="009E4E6A">
        <w:rPr>
          <w:rFonts w:ascii="Calibri" w:hAnsi="Calibri"/>
        </w:rPr>
        <w:t>dar-year C corporation, has $8</w:t>
      </w:r>
      <w:r w:rsidR="004F262C" w:rsidRPr="009E4E6A">
        <w:rPr>
          <w:rFonts w:ascii="Calibri" w:hAnsi="Calibri"/>
        </w:rPr>
        <w:t>00</w:t>
      </w:r>
      <w:r w:rsidRPr="009E4E6A">
        <w:rPr>
          <w:rFonts w:ascii="Calibri" w:hAnsi="Calibri"/>
        </w:rPr>
        <w:t>,000 of qualified production activities income (QPAI) and $</w:t>
      </w:r>
      <w:r w:rsidR="00AC75AB" w:rsidRPr="009E4E6A">
        <w:rPr>
          <w:rFonts w:ascii="Calibri" w:hAnsi="Calibri"/>
        </w:rPr>
        <w:t>950</w:t>
      </w:r>
      <w:r w:rsidRPr="009E4E6A">
        <w:rPr>
          <w:rFonts w:ascii="Calibri" w:hAnsi="Calibri"/>
        </w:rPr>
        <w:t xml:space="preserve">,000 of total taxable income in </w:t>
      </w:r>
      <w:r w:rsidR="00ED50E4" w:rsidRPr="009E4E6A">
        <w:rPr>
          <w:rFonts w:ascii="Calibri" w:hAnsi="Calibri"/>
        </w:rPr>
        <w:t>20</w:t>
      </w:r>
      <w:r w:rsidR="00DE7A58">
        <w:rPr>
          <w:rFonts w:ascii="Calibri" w:hAnsi="Calibri"/>
        </w:rPr>
        <w:t>17</w:t>
      </w:r>
      <w:r w:rsidRPr="009E4E6A">
        <w:rPr>
          <w:rFonts w:ascii="Calibri" w:hAnsi="Calibri"/>
        </w:rPr>
        <w:t xml:space="preserve">. All of the QDPAI was produced by Orange’s manufacturing </w:t>
      </w:r>
      <w:r w:rsidR="003A2912" w:rsidRPr="009E4E6A">
        <w:rPr>
          <w:rFonts w:ascii="Calibri" w:hAnsi="Calibri"/>
        </w:rPr>
        <w:t xml:space="preserve">plant, which </w:t>
      </w:r>
      <w:r w:rsidR="00E75F48" w:rsidRPr="009E4E6A">
        <w:rPr>
          <w:rFonts w:ascii="Calibri" w:hAnsi="Calibri"/>
        </w:rPr>
        <w:t>relies mainly on a temporary employment agency for its workforce, employing only</w:t>
      </w:r>
      <w:r w:rsidR="003A2912" w:rsidRPr="009E4E6A">
        <w:rPr>
          <w:rFonts w:ascii="Calibri" w:hAnsi="Calibri"/>
        </w:rPr>
        <w:t xml:space="preserve"> </w:t>
      </w:r>
      <w:r w:rsidR="00E31582" w:rsidRPr="009E4E6A">
        <w:rPr>
          <w:rFonts w:ascii="Calibri" w:hAnsi="Calibri"/>
        </w:rPr>
        <w:t>two</w:t>
      </w:r>
      <w:r w:rsidR="003A2912" w:rsidRPr="009E4E6A">
        <w:rPr>
          <w:rFonts w:ascii="Calibri" w:hAnsi="Calibri"/>
        </w:rPr>
        <w:t xml:space="preserve"> W-2 employee</w:t>
      </w:r>
      <w:r w:rsidR="00CA4027" w:rsidRPr="009E4E6A">
        <w:rPr>
          <w:rFonts w:ascii="Calibri" w:hAnsi="Calibri"/>
        </w:rPr>
        <w:t>s</w:t>
      </w:r>
      <w:r w:rsidR="00C91FBE" w:rsidRPr="009E4E6A">
        <w:rPr>
          <w:rFonts w:ascii="Calibri" w:hAnsi="Calibri"/>
        </w:rPr>
        <w:t xml:space="preserve"> </w:t>
      </w:r>
      <w:r w:rsidR="00CA4027" w:rsidRPr="009E4E6A">
        <w:rPr>
          <w:rFonts w:ascii="Calibri" w:hAnsi="Calibri"/>
        </w:rPr>
        <w:t>who in agg</w:t>
      </w:r>
      <w:r w:rsidR="00E75F48" w:rsidRPr="009E4E6A">
        <w:rPr>
          <w:rFonts w:ascii="Calibri" w:hAnsi="Calibri"/>
        </w:rPr>
        <w:t>regate earned $</w:t>
      </w:r>
      <w:r w:rsidR="00E31582" w:rsidRPr="009E4E6A">
        <w:rPr>
          <w:rFonts w:ascii="Calibri" w:hAnsi="Calibri"/>
        </w:rPr>
        <w:t>140,000</w:t>
      </w:r>
      <w:r w:rsidR="001B6870" w:rsidRPr="009E4E6A">
        <w:rPr>
          <w:rFonts w:ascii="Calibri" w:hAnsi="Calibri"/>
        </w:rPr>
        <w:t xml:space="preserve"> in </w:t>
      </w:r>
      <w:r w:rsidR="00ED50E4" w:rsidRPr="009E4E6A">
        <w:rPr>
          <w:rFonts w:ascii="Calibri" w:hAnsi="Calibri"/>
        </w:rPr>
        <w:t>20</w:t>
      </w:r>
      <w:r w:rsidR="0024004D">
        <w:rPr>
          <w:rFonts w:ascii="Calibri" w:hAnsi="Calibri"/>
        </w:rPr>
        <w:t>17</w:t>
      </w:r>
      <w:r w:rsidR="001B6870" w:rsidRPr="009E4E6A">
        <w:rPr>
          <w:rFonts w:ascii="Calibri" w:hAnsi="Calibri"/>
        </w:rPr>
        <w:t xml:space="preserve">. </w:t>
      </w:r>
      <w:r w:rsidR="00E024DE" w:rsidRPr="009E4E6A">
        <w:rPr>
          <w:rFonts w:ascii="Calibri" w:hAnsi="Calibri"/>
        </w:rPr>
        <w:t>Orange also has an office in Mexico</w:t>
      </w:r>
      <w:r w:rsidR="00AC75AB" w:rsidRPr="009E4E6A">
        <w:rPr>
          <w:rFonts w:ascii="Calibri" w:hAnsi="Calibri"/>
        </w:rPr>
        <w:t xml:space="preserve">, which is </w:t>
      </w:r>
      <w:r w:rsidR="0019220B" w:rsidRPr="009E4E6A">
        <w:rPr>
          <w:rFonts w:ascii="Calibri" w:hAnsi="Calibri"/>
        </w:rPr>
        <w:t>unrelated to its domestic manufacturing plant</w:t>
      </w:r>
      <w:r w:rsidR="00AC75AB" w:rsidRPr="009E4E6A">
        <w:rPr>
          <w:rFonts w:ascii="Calibri" w:hAnsi="Calibri"/>
        </w:rPr>
        <w:t xml:space="preserve"> and which employs one W-2 employee</w:t>
      </w:r>
      <w:r w:rsidR="000E1921" w:rsidRPr="009E4E6A">
        <w:rPr>
          <w:rFonts w:ascii="Calibri" w:hAnsi="Calibri"/>
        </w:rPr>
        <w:t>,</w:t>
      </w:r>
      <w:r w:rsidR="00AC75AB" w:rsidRPr="009E4E6A">
        <w:rPr>
          <w:rFonts w:ascii="Calibri" w:hAnsi="Calibri"/>
        </w:rPr>
        <w:t xml:space="preserve"> who</w:t>
      </w:r>
      <w:r w:rsidR="00E024DE" w:rsidRPr="009E4E6A">
        <w:rPr>
          <w:rFonts w:ascii="Calibri" w:hAnsi="Calibri"/>
        </w:rPr>
        <w:t xml:space="preserve"> earned $75,000 in </w:t>
      </w:r>
      <w:r w:rsidR="00ED50E4" w:rsidRPr="009E4E6A">
        <w:rPr>
          <w:rFonts w:ascii="Calibri" w:hAnsi="Calibri"/>
        </w:rPr>
        <w:t>20</w:t>
      </w:r>
      <w:r w:rsidR="0024004D">
        <w:rPr>
          <w:rFonts w:ascii="Calibri" w:hAnsi="Calibri"/>
        </w:rPr>
        <w:t>17</w:t>
      </w:r>
      <w:r w:rsidR="00E024DE" w:rsidRPr="009E4E6A">
        <w:rPr>
          <w:rFonts w:ascii="Calibri" w:hAnsi="Calibri"/>
        </w:rPr>
        <w:t xml:space="preserve">. </w:t>
      </w:r>
      <w:r w:rsidR="001B6870" w:rsidRPr="009E4E6A">
        <w:rPr>
          <w:rFonts w:ascii="Calibri" w:hAnsi="Calibri"/>
        </w:rPr>
        <w:t xml:space="preserve">What amount of Domestic Production Activities Deduction may Orange claim on its </w:t>
      </w:r>
      <w:r w:rsidR="00ED50E4" w:rsidRPr="009E4E6A">
        <w:rPr>
          <w:rFonts w:ascii="Calibri" w:hAnsi="Calibri"/>
        </w:rPr>
        <w:t>20</w:t>
      </w:r>
      <w:r w:rsidR="0024004D">
        <w:rPr>
          <w:rFonts w:ascii="Calibri" w:hAnsi="Calibri"/>
        </w:rPr>
        <w:t>17</w:t>
      </w:r>
      <w:r w:rsidR="00ED50E4" w:rsidRPr="009E4E6A">
        <w:rPr>
          <w:rFonts w:ascii="Calibri" w:hAnsi="Calibri"/>
        </w:rPr>
        <w:t xml:space="preserve"> </w:t>
      </w:r>
      <w:r w:rsidR="001B6870" w:rsidRPr="009E4E6A">
        <w:rPr>
          <w:rFonts w:ascii="Calibri" w:hAnsi="Calibri"/>
        </w:rPr>
        <w:t>corporate tax return?</w:t>
      </w:r>
    </w:p>
    <w:p w14:paraId="5061433C" w14:textId="77777777" w:rsidR="00CA4027" w:rsidRPr="009E4E6A" w:rsidRDefault="00CA4027" w:rsidP="009E4E6A">
      <w:pPr>
        <w:spacing w:after="0" w:line="240" w:lineRule="auto"/>
        <w:rPr>
          <w:rFonts w:ascii="Calibri" w:hAnsi="Calibri"/>
        </w:rPr>
      </w:pPr>
    </w:p>
    <w:p w14:paraId="3E5D427E" w14:textId="77777777" w:rsidR="008845CF" w:rsidRPr="009E4E6A" w:rsidRDefault="0064357F" w:rsidP="009E4E6A">
      <w:pPr>
        <w:spacing w:after="0" w:line="240" w:lineRule="auto"/>
        <w:ind w:left="1080" w:hanging="360"/>
        <w:rPr>
          <w:rFonts w:ascii="Calibri" w:hAnsi="Calibri"/>
        </w:rPr>
      </w:pPr>
      <w:r w:rsidRPr="009E4E6A">
        <w:rPr>
          <w:rFonts w:ascii="Calibri" w:hAnsi="Calibri"/>
        </w:rPr>
        <w:t>a)</w:t>
      </w:r>
      <w:r w:rsidRPr="009E4E6A">
        <w:rPr>
          <w:rFonts w:ascii="Calibri" w:hAnsi="Calibri"/>
        </w:rPr>
        <w:tab/>
      </w:r>
      <w:r w:rsidR="00315678" w:rsidRPr="009E4E6A">
        <w:rPr>
          <w:rFonts w:ascii="Calibri" w:hAnsi="Calibri"/>
        </w:rPr>
        <w:t>$73,350</w:t>
      </w:r>
    </w:p>
    <w:p w14:paraId="1ACCB29E" w14:textId="77777777" w:rsidR="0064357F" w:rsidRPr="009E4E6A" w:rsidRDefault="0064357F" w:rsidP="009E4E6A">
      <w:pPr>
        <w:spacing w:after="0" w:line="240" w:lineRule="auto"/>
        <w:ind w:left="1080" w:hanging="360"/>
        <w:rPr>
          <w:rFonts w:ascii="Calibri" w:hAnsi="Calibri"/>
        </w:rPr>
      </w:pPr>
      <w:r w:rsidRPr="009E4E6A">
        <w:rPr>
          <w:rFonts w:ascii="Calibri" w:hAnsi="Calibri"/>
        </w:rPr>
        <w:t>b)</w:t>
      </w:r>
      <w:r w:rsidRPr="009E4E6A">
        <w:rPr>
          <w:rFonts w:ascii="Calibri" w:hAnsi="Calibri"/>
        </w:rPr>
        <w:tab/>
      </w:r>
      <w:r w:rsidR="00315678" w:rsidRPr="009E4E6A">
        <w:rPr>
          <w:rFonts w:ascii="Calibri" w:hAnsi="Calibri"/>
        </w:rPr>
        <w:t>$72,000</w:t>
      </w:r>
    </w:p>
    <w:p w14:paraId="39ED1EE1" w14:textId="77777777" w:rsidR="0064357F" w:rsidRPr="009E4E6A" w:rsidRDefault="00D958A9" w:rsidP="009E4E6A">
      <w:pPr>
        <w:spacing w:after="0" w:line="240" w:lineRule="auto"/>
        <w:ind w:left="1080" w:hanging="360"/>
        <w:rPr>
          <w:rFonts w:ascii="Calibri" w:hAnsi="Calibri"/>
        </w:rPr>
      </w:pPr>
      <w:r w:rsidRPr="009E4E6A">
        <w:rPr>
          <w:rFonts w:ascii="Calibri" w:hAnsi="Calibri"/>
        </w:rPr>
        <w:t>c)</w:t>
      </w:r>
      <w:r w:rsidRPr="009E4E6A">
        <w:rPr>
          <w:rFonts w:ascii="Calibri" w:hAnsi="Calibri"/>
        </w:rPr>
        <w:tab/>
      </w:r>
      <w:r w:rsidR="009421F9" w:rsidRPr="009E4E6A">
        <w:rPr>
          <w:rFonts w:ascii="Calibri" w:hAnsi="Calibri"/>
        </w:rPr>
        <w:t>Depends on wage</w:t>
      </w:r>
      <w:r w:rsidR="005F5395" w:rsidRPr="009E4E6A">
        <w:rPr>
          <w:rFonts w:ascii="Calibri" w:hAnsi="Calibri"/>
        </w:rPr>
        <w:t>s paid by</w:t>
      </w:r>
      <w:r w:rsidR="009421F9" w:rsidRPr="009E4E6A">
        <w:rPr>
          <w:rFonts w:ascii="Calibri" w:hAnsi="Calibri"/>
        </w:rPr>
        <w:t xml:space="preserve"> employment agency</w:t>
      </w:r>
      <w:r w:rsidR="0019301D" w:rsidRPr="009E4E6A">
        <w:rPr>
          <w:rFonts w:ascii="Calibri" w:hAnsi="Calibri"/>
        </w:rPr>
        <w:t>.</w:t>
      </w:r>
    </w:p>
    <w:p w14:paraId="58C68284" w14:textId="77777777" w:rsidR="0064357F" w:rsidRPr="009E4E6A" w:rsidRDefault="0064357F" w:rsidP="009E4E6A">
      <w:pPr>
        <w:spacing w:after="0" w:line="240" w:lineRule="auto"/>
        <w:ind w:left="1080" w:hanging="360"/>
        <w:rPr>
          <w:rFonts w:ascii="Calibri" w:hAnsi="Calibri"/>
        </w:rPr>
      </w:pPr>
      <w:r w:rsidRPr="009E4E6A">
        <w:rPr>
          <w:rFonts w:ascii="Calibri" w:hAnsi="Calibri"/>
        </w:rPr>
        <w:t>d)</w:t>
      </w:r>
      <w:r w:rsidRPr="009E4E6A">
        <w:rPr>
          <w:rFonts w:ascii="Calibri" w:hAnsi="Calibri"/>
        </w:rPr>
        <w:tab/>
      </w:r>
      <w:r w:rsidR="009421F9" w:rsidRPr="009E4E6A">
        <w:rPr>
          <w:rFonts w:ascii="Calibri" w:hAnsi="Calibri"/>
        </w:rPr>
        <w:t>$70,000</w:t>
      </w:r>
    </w:p>
    <w:p w14:paraId="5289E78E" w14:textId="77777777" w:rsidR="00564F83" w:rsidRPr="009E4E6A" w:rsidRDefault="00564F83" w:rsidP="009E4E6A">
      <w:pPr>
        <w:spacing w:after="0" w:line="240" w:lineRule="auto"/>
        <w:rPr>
          <w:rFonts w:ascii="Calibri" w:hAnsi="Calibri"/>
        </w:rPr>
      </w:pPr>
    </w:p>
    <w:p w14:paraId="7FFAEF17" w14:textId="0C93161C" w:rsidR="00564F83" w:rsidRPr="009E4E6A" w:rsidRDefault="009421F9" w:rsidP="009E4E6A">
      <w:pPr>
        <w:spacing w:after="0" w:line="240" w:lineRule="auto"/>
        <w:ind w:left="1080" w:hanging="360"/>
        <w:rPr>
          <w:rFonts w:ascii="Calibri" w:hAnsi="Calibri"/>
        </w:rPr>
      </w:pPr>
      <w:r w:rsidRPr="009E4E6A">
        <w:rPr>
          <w:rFonts w:ascii="Calibri" w:hAnsi="Calibri"/>
        </w:rPr>
        <w:t>a</w:t>
      </w:r>
      <w:r w:rsidR="00564F83" w:rsidRPr="009E4E6A">
        <w:rPr>
          <w:rFonts w:ascii="Calibri" w:hAnsi="Calibri"/>
        </w:rPr>
        <w:t>)</w:t>
      </w:r>
      <w:r w:rsidR="00564F83" w:rsidRPr="009E4E6A">
        <w:rPr>
          <w:rFonts w:ascii="Calibri" w:hAnsi="Calibri"/>
        </w:rPr>
        <w:tab/>
        <w:t>Incorrect.</w:t>
      </w:r>
      <w:r w:rsidR="003505BE" w:rsidRPr="009E4E6A">
        <w:rPr>
          <w:rFonts w:ascii="Calibri" w:hAnsi="Calibri"/>
        </w:rPr>
        <w:t xml:space="preserve">  The DPAD is calculated at 9% of the lesser of QPAI, $800,000, or taxable income, $940,000.  The deduction, 9% x $800,000 or $72,000 is limited, however, to 50% of W-2 wages paid to domestic employees.  Orange paid a total of $140,000 in W-2 wages </w:t>
      </w:r>
      <w:r w:rsidR="00414F8D" w:rsidRPr="009E4E6A">
        <w:rPr>
          <w:rFonts w:ascii="Calibri" w:hAnsi="Calibri"/>
        </w:rPr>
        <w:t>allocable to the QPAI</w:t>
      </w:r>
      <w:r w:rsidR="003505BE" w:rsidRPr="009E4E6A">
        <w:rPr>
          <w:rFonts w:ascii="Calibri" w:hAnsi="Calibri"/>
        </w:rPr>
        <w:t>, limiting the DPAD to $70,000.</w:t>
      </w:r>
    </w:p>
    <w:p w14:paraId="58B34E66" w14:textId="01C3DB7C" w:rsidR="00564F83" w:rsidRPr="009E4E6A" w:rsidRDefault="009421F9" w:rsidP="009E4E6A">
      <w:pPr>
        <w:spacing w:after="0" w:line="240" w:lineRule="auto"/>
        <w:ind w:left="1080" w:hanging="360"/>
        <w:rPr>
          <w:rFonts w:ascii="Calibri" w:hAnsi="Calibri"/>
        </w:rPr>
      </w:pPr>
      <w:r w:rsidRPr="009E4E6A">
        <w:rPr>
          <w:rFonts w:ascii="Calibri" w:hAnsi="Calibri"/>
        </w:rPr>
        <w:t>b</w:t>
      </w:r>
      <w:r w:rsidR="00564F83" w:rsidRPr="009E4E6A">
        <w:rPr>
          <w:rFonts w:ascii="Calibri" w:hAnsi="Calibri"/>
        </w:rPr>
        <w:t>)</w:t>
      </w:r>
      <w:r w:rsidR="00564F83" w:rsidRPr="009E4E6A">
        <w:rPr>
          <w:rFonts w:ascii="Calibri" w:hAnsi="Calibri"/>
        </w:rPr>
        <w:tab/>
        <w:t>Incorrect.</w:t>
      </w:r>
      <w:r w:rsidR="003505BE" w:rsidRPr="009E4E6A">
        <w:rPr>
          <w:rFonts w:ascii="Calibri" w:hAnsi="Calibri"/>
        </w:rPr>
        <w:t xml:space="preserve"> The DPAD is calculated at 9% of the lesser of QPAI, $800,000, or taxable income, $940,000.  The deduction, 9% x $800,000 or $72,000 is limited, however, to 50% of W-2 wages paid to domestic employees.  Orange paid a total of $140,000 in W-2 wages </w:t>
      </w:r>
      <w:r w:rsidR="00414F8D" w:rsidRPr="009E4E6A">
        <w:rPr>
          <w:rFonts w:ascii="Calibri" w:hAnsi="Calibri"/>
        </w:rPr>
        <w:t>allocable to the QPAI</w:t>
      </w:r>
      <w:r w:rsidR="003505BE" w:rsidRPr="009E4E6A">
        <w:rPr>
          <w:rFonts w:ascii="Calibri" w:hAnsi="Calibri"/>
        </w:rPr>
        <w:t>, limiting the DPAD to $70,000.</w:t>
      </w:r>
    </w:p>
    <w:p w14:paraId="71D3816F" w14:textId="51C7D713" w:rsidR="00564F83" w:rsidRPr="009E4E6A" w:rsidRDefault="009421F9" w:rsidP="009E4E6A">
      <w:pPr>
        <w:spacing w:after="0" w:line="240" w:lineRule="auto"/>
        <w:ind w:left="1080" w:hanging="360"/>
        <w:rPr>
          <w:rFonts w:ascii="Calibri" w:hAnsi="Calibri"/>
        </w:rPr>
      </w:pPr>
      <w:r w:rsidRPr="009E4E6A">
        <w:rPr>
          <w:rFonts w:ascii="Calibri" w:hAnsi="Calibri"/>
        </w:rPr>
        <w:t>c</w:t>
      </w:r>
      <w:r w:rsidR="00564F83" w:rsidRPr="009E4E6A">
        <w:rPr>
          <w:rFonts w:ascii="Calibri" w:hAnsi="Calibri"/>
        </w:rPr>
        <w:t>)</w:t>
      </w:r>
      <w:r w:rsidR="00564F83" w:rsidRPr="009E4E6A">
        <w:rPr>
          <w:rFonts w:ascii="Calibri" w:hAnsi="Calibri"/>
        </w:rPr>
        <w:tab/>
        <w:t>Incorrect.</w:t>
      </w:r>
      <w:r w:rsidR="003505BE" w:rsidRPr="009E4E6A">
        <w:rPr>
          <w:rFonts w:ascii="Calibri" w:hAnsi="Calibri"/>
        </w:rPr>
        <w:t xml:space="preserve"> The DPAD is calculated at 9% of the lesser of QPAI, $800,000, or taxable income, $940,000.  The deduction, 9% x $800,000 or $72,000 is limited, however, to 50% of W-2 wages paid to domestic employees.  Orange paid a total of $140,000 in W-2 wages </w:t>
      </w:r>
      <w:r w:rsidR="00414F8D" w:rsidRPr="009E4E6A">
        <w:rPr>
          <w:rFonts w:ascii="Calibri" w:hAnsi="Calibri"/>
        </w:rPr>
        <w:t>allocable to the QPAI</w:t>
      </w:r>
      <w:r w:rsidR="003505BE" w:rsidRPr="009E4E6A">
        <w:rPr>
          <w:rFonts w:ascii="Calibri" w:hAnsi="Calibri"/>
        </w:rPr>
        <w:t>, limiting the DPAD to $70,000.</w:t>
      </w:r>
    </w:p>
    <w:p w14:paraId="1A1E6532" w14:textId="77777777" w:rsidR="00B078DD" w:rsidRPr="009E4E6A" w:rsidRDefault="00B078DD" w:rsidP="009E4E6A">
      <w:pPr>
        <w:spacing w:after="0" w:line="240" w:lineRule="auto"/>
        <w:ind w:left="1080" w:hanging="360"/>
        <w:rPr>
          <w:rFonts w:ascii="Calibri" w:hAnsi="Calibri"/>
          <w:b/>
        </w:rPr>
      </w:pPr>
      <w:r w:rsidRPr="009E4E6A">
        <w:rPr>
          <w:rFonts w:ascii="Calibri" w:hAnsi="Calibri"/>
          <w:b/>
        </w:rPr>
        <w:t>d)</w:t>
      </w:r>
      <w:r w:rsidRPr="009E4E6A">
        <w:rPr>
          <w:rFonts w:ascii="Calibri" w:hAnsi="Calibri"/>
          <w:b/>
        </w:rPr>
        <w:tab/>
        <w:t>Correct!</w:t>
      </w:r>
      <w:r w:rsidRPr="009E4E6A">
        <w:rPr>
          <w:rFonts w:ascii="Calibri" w:hAnsi="Calibri"/>
        </w:rPr>
        <w:t xml:space="preserve"> The DPAD is calculated at 9% of the lesser of QPAI, $800,000, or taxable income, $940,000.  The deduction, 9% x $800,000 or $72,000 is limited, however, to 50% of W-2 wages paid to domestic employees.  Orange paid a total of $140,000 in W-2 wages allocable to the QPAI, limiting the DPAD to $70,000.</w:t>
      </w:r>
    </w:p>
    <w:p w14:paraId="1907FF66" w14:textId="77777777" w:rsidR="00414F8D" w:rsidRPr="009E4E6A" w:rsidRDefault="00414F8D" w:rsidP="009E4E6A">
      <w:pPr>
        <w:spacing w:after="0" w:line="240" w:lineRule="auto"/>
        <w:rPr>
          <w:rFonts w:ascii="Calibri" w:hAnsi="Calibri"/>
        </w:rPr>
      </w:pPr>
    </w:p>
    <w:p w14:paraId="1E5E0CB9" w14:textId="2C415C10" w:rsidR="00012BAB" w:rsidRDefault="00CC42CE" w:rsidP="009E4E6A">
      <w:pPr>
        <w:pStyle w:val="ListParagraph"/>
        <w:numPr>
          <w:ilvl w:val="0"/>
          <w:numId w:val="10"/>
        </w:numPr>
        <w:spacing w:after="0" w:line="240" w:lineRule="auto"/>
        <w:rPr>
          <w:rFonts w:ascii="Calibri" w:hAnsi="Calibri"/>
        </w:rPr>
      </w:pPr>
      <w:r w:rsidRPr="009E4E6A">
        <w:rPr>
          <w:rFonts w:ascii="Calibri" w:hAnsi="Calibri"/>
        </w:rPr>
        <w:t xml:space="preserve">Regarding the </w:t>
      </w:r>
      <w:r w:rsidR="00607138" w:rsidRPr="009E4E6A">
        <w:rPr>
          <w:rFonts w:ascii="Calibri" w:hAnsi="Calibri"/>
        </w:rPr>
        <w:t>Domestic Production Activities Deduction (DPAD)</w:t>
      </w:r>
      <w:r w:rsidRPr="009E4E6A">
        <w:rPr>
          <w:rFonts w:ascii="Calibri" w:hAnsi="Calibri"/>
        </w:rPr>
        <w:t>, which of the following statements is true?</w:t>
      </w:r>
    </w:p>
    <w:p w14:paraId="05529766" w14:textId="77777777" w:rsidR="009E4E6A" w:rsidRPr="009E4E6A" w:rsidRDefault="009E4E6A" w:rsidP="009E4E6A">
      <w:pPr>
        <w:pStyle w:val="ListParagraph"/>
        <w:spacing w:after="0" w:line="240" w:lineRule="auto"/>
        <w:rPr>
          <w:rFonts w:ascii="Calibri" w:hAnsi="Calibri"/>
        </w:rPr>
      </w:pPr>
    </w:p>
    <w:p w14:paraId="191AD858" w14:textId="1F72EE0E" w:rsidR="00665765" w:rsidRPr="009E4E6A" w:rsidRDefault="0054591C" w:rsidP="009E4E6A">
      <w:pPr>
        <w:spacing w:after="0" w:line="240" w:lineRule="auto"/>
        <w:ind w:left="1080" w:hanging="360"/>
        <w:rPr>
          <w:rFonts w:ascii="Calibri" w:hAnsi="Calibri"/>
        </w:rPr>
      </w:pPr>
      <w:r w:rsidRPr="009E4E6A">
        <w:rPr>
          <w:rFonts w:ascii="Calibri" w:hAnsi="Calibri"/>
        </w:rPr>
        <w:t>a)</w:t>
      </w:r>
      <w:r w:rsidR="00BA1460" w:rsidRPr="009E4E6A">
        <w:rPr>
          <w:rFonts w:ascii="Calibri" w:hAnsi="Calibri"/>
        </w:rPr>
        <w:tab/>
      </w:r>
      <w:r w:rsidR="00667263" w:rsidRPr="009E4E6A">
        <w:rPr>
          <w:rFonts w:ascii="Calibri" w:hAnsi="Calibri"/>
        </w:rPr>
        <w:t xml:space="preserve">For C corporations only, the DPAD cannot exceed 50% of </w:t>
      </w:r>
      <w:r w:rsidR="00F46A81" w:rsidRPr="009E4E6A">
        <w:rPr>
          <w:rFonts w:ascii="Calibri" w:hAnsi="Calibri"/>
        </w:rPr>
        <w:t xml:space="preserve">allocable </w:t>
      </w:r>
      <w:r w:rsidR="00667263" w:rsidRPr="009E4E6A">
        <w:rPr>
          <w:rFonts w:ascii="Calibri" w:hAnsi="Calibri"/>
        </w:rPr>
        <w:t>W-2 wages</w:t>
      </w:r>
      <w:r w:rsidR="00F86FF1" w:rsidRPr="009E4E6A">
        <w:rPr>
          <w:rFonts w:ascii="Calibri" w:hAnsi="Calibri"/>
        </w:rPr>
        <w:t>.</w:t>
      </w:r>
    </w:p>
    <w:p w14:paraId="35EA7838" w14:textId="77777777" w:rsidR="007D0106" w:rsidRPr="009E4E6A" w:rsidRDefault="00D0095E" w:rsidP="009E4E6A">
      <w:pPr>
        <w:spacing w:after="0" w:line="240" w:lineRule="auto"/>
        <w:ind w:left="1080" w:hanging="360"/>
        <w:rPr>
          <w:rFonts w:ascii="Calibri" w:hAnsi="Calibri"/>
        </w:rPr>
      </w:pPr>
      <w:r w:rsidRPr="009E4E6A">
        <w:rPr>
          <w:rFonts w:ascii="Calibri" w:hAnsi="Calibri"/>
        </w:rPr>
        <w:t>b)</w:t>
      </w:r>
      <w:r w:rsidRPr="009E4E6A">
        <w:rPr>
          <w:rFonts w:ascii="Calibri" w:hAnsi="Calibri"/>
        </w:rPr>
        <w:tab/>
      </w:r>
      <w:r w:rsidR="00667263" w:rsidRPr="009E4E6A">
        <w:rPr>
          <w:rFonts w:ascii="Calibri" w:hAnsi="Calibri"/>
        </w:rPr>
        <w:t>Qualified Production Activities Income (QPAI) is calculated by applying a percentage based on specific criteria to a company’s total taxable income</w:t>
      </w:r>
      <w:r w:rsidR="00F86FF1" w:rsidRPr="009E4E6A">
        <w:rPr>
          <w:rFonts w:ascii="Calibri" w:hAnsi="Calibri"/>
        </w:rPr>
        <w:t>.</w:t>
      </w:r>
    </w:p>
    <w:p w14:paraId="7F12C46C" w14:textId="77777777" w:rsidR="007D0106" w:rsidRPr="009E4E6A" w:rsidRDefault="00665765" w:rsidP="009E4E6A">
      <w:pPr>
        <w:spacing w:after="0" w:line="240" w:lineRule="auto"/>
        <w:ind w:left="1080" w:hanging="360"/>
        <w:rPr>
          <w:rFonts w:ascii="Calibri" w:hAnsi="Calibri"/>
        </w:rPr>
      </w:pPr>
      <w:r w:rsidRPr="009E4E6A">
        <w:rPr>
          <w:rFonts w:ascii="Calibri" w:hAnsi="Calibri"/>
        </w:rPr>
        <w:t>c)</w:t>
      </w:r>
      <w:r w:rsidRPr="009E4E6A">
        <w:rPr>
          <w:rFonts w:ascii="Calibri" w:hAnsi="Calibri"/>
        </w:rPr>
        <w:tab/>
      </w:r>
      <w:r w:rsidR="00667263" w:rsidRPr="009E4E6A">
        <w:rPr>
          <w:rFonts w:ascii="Calibri" w:hAnsi="Calibri"/>
        </w:rPr>
        <w:t>S Corporations are ineligible for the DPAD</w:t>
      </w:r>
      <w:r w:rsidR="00F86FF1" w:rsidRPr="009E4E6A">
        <w:rPr>
          <w:rFonts w:ascii="Calibri" w:hAnsi="Calibri"/>
        </w:rPr>
        <w:t>.</w:t>
      </w:r>
    </w:p>
    <w:p w14:paraId="0E065966" w14:textId="77777777" w:rsidR="003B2824" w:rsidRPr="009E4E6A" w:rsidRDefault="00665765" w:rsidP="009E4E6A">
      <w:pPr>
        <w:spacing w:after="0" w:line="240" w:lineRule="auto"/>
        <w:ind w:left="1080" w:hanging="360"/>
        <w:rPr>
          <w:rFonts w:ascii="Calibri" w:hAnsi="Calibri"/>
        </w:rPr>
      </w:pPr>
      <w:r w:rsidRPr="009E4E6A">
        <w:rPr>
          <w:rFonts w:ascii="Calibri" w:hAnsi="Calibri"/>
        </w:rPr>
        <w:t>d)</w:t>
      </w:r>
      <w:r w:rsidRPr="009E4E6A">
        <w:rPr>
          <w:rFonts w:ascii="Calibri" w:hAnsi="Calibri"/>
        </w:rPr>
        <w:tab/>
      </w:r>
      <w:r w:rsidR="00667263" w:rsidRPr="009E4E6A">
        <w:rPr>
          <w:rFonts w:ascii="Calibri" w:hAnsi="Calibri"/>
        </w:rPr>
        <w:t>For a sole proprietorship, the DPAD is limited to Adjusted Gross Income (AGI)</w:t>
      </w:r>
      <w:r w:rsidR="00F86FF1" w:rsidRPr="009E4E6A">
        <w:rPr>
          <w:rFonts w:ascii="Calibri" w:hAnsi="Calibri"/>
        </w:rPr>
        <w:t>.</w:t>
      </w:r>
    </w:p>
    <w:p w14:paraId="37F9C255" w14:textId="171CDB4C" w:rsidR="007E18AF" w:rsidRPr="009E4E6A" w:rsidRDefault="007E18AF" w:rsidP="009E4E6A">
      <w:pPr>
        <w:spacing w:after="0" w:line="240" w:lineRule="auto"/>
        <w:rPr>
          <w:rFonts w:ascii="Calibri" w:hAnsi="Calibri"/>
          <w:b/>
        </w:rPr>
      </w:pPr>
    </w:p>
    <w:p w14:paraId="03A11B83" w14:textId="40866B6C" w:rsidR="007E18AF" w:rsidRPr="009E4E6A" w:rsidRDefault="00667263" w:rsidP="009E4E6A">
      <w:pPr>
        <w:spacing w:after="0" w:line="240" w:lineRule="auto"/>
        <w:ind w:left="1080" w:hanging="360"/>
        <w:rPr>
          <w:rFonts w:ascii="Calibri" w:hAnsi="Calibri"/>
        </w:rPr>
      </w:pPr>
      <w:r w:rsidRPr="009E4E6A">
        <w:rPr>
          <w:rFonts w:ascii="Calibri" w:hAnsi="Calibri"/>
        </w:rPr>
        <w:t>a</w:t>
      </w:r>
      <w:r w:rsidR="007E18AF" w:rsidRPr="009E4E6A">
        <w:rPr>
          <w:rFonts w:ascii="Calibri" w:hAnsi="Calibri"/>
        </w:rPr>
        <w:t>)</w:t>
      </w:r>
      <w:r w:rsidR="007E18AF" w:rsidRPr="009E4E6A">
        <w:rPr>
          <w:rFonts w:ascii="Calibri" w:hAnsi="Calibri"/>
        </w:rPr>
        <w:tab/>
        <w:t>Incorrect.</w:t>
      </w:r>
      <w:r w:rsidR="003505BE" w:rsidRPr="009E4E6A">
        <w:rPr>
          <w:rFonts w:ascii="Calibri" w:hAnsi="Calibri"/>
        </w:rPr>
        <w:t xml:space="preserve">  </w:t>
      </w:r>
      <w:r w:rsidR="00234774" w:rsidRPr="009E4E6A">
        <w:rPr>
          <w:rFonts w:ascii="Calibri" w:hAnsi="Calibri"/>
        </w:rPr>
        <w:t>S</w:t>
      </w:r>
      <w:r w:rsidR="003505BE" w:rsidRPr="009E4E6A">
        <w:rPr>
          <w:rFonts w:ascii="Calibri" w:hAnsi="Calibri"/>
        </w:rPr>
        <w:t>ole proprietorships, partnerships, S corporations, and LLCs</w:t>
      </w:r>
      <w:r w:rsidR="00234774" w:rsidRPr="009E4E6A">
        <w:rPr>
          <w:rFonts w:ascii="Calibri" w:hAnsi="Calibri"/>
        </w:rPr>
        <w:t xml:space="preserve"> all qualify for the </w:t>
      </w:r>
      <w:r w:rsidR="003505BE" w:rsidRPr="009E4E6A">
        <w:rPr>
          <w:rFonts w:ascii="Calibri" w:hAnsi="Calibri"/>
        </w:rPr>
        <w:t xml:space="preserve">DPAD </w:t>
      </w:r>
      <w:r w:rsidR="00234774" w:rsidRPr="009E4E6A">
        <w:rPr>
          <w:rFonts w:ascii="Calibri" w:hAnsi="Calibri"/>
        </w:rPr>
        <w:t xml:space="preserve">with the amount </w:t>
      </w:r>
      <w:r w:rsidR="003505BE" w:rsidRPr="009E4E6A">
        <w:rPr>
          <w:rFonts w:ascii="Calibri" w:hAnsi="Calibri"/>
        </w:rPr>
        <w:t xml:space="preserve">limited to AGI.  The deduction may not exceed 50% of </w:t>
      </w:r>
      <w:r w:rsidR="00F46A81" w:rsidRPr="009E4E6A">
        <w:rPr>
          <w:rFonts w:ascii="Calibri" w:hAnsi="Calibri"/>
        </w:rPr>
        <w:t xml:space="preserve">allocable </w:t>
      </w:r>
      <w:r w:rsidR="003505BE" w:rsidRPr="009E4E6A">
        <w:rPr>
          <w:rFonts w:ascii="Calibri" w:hAnsi="Calibri"/>
        </w:rPr>
        <w:t>W-2 wages for all entities, not only corporations</w:t>
      </w:r>
      <w:r w:rsidR="00234774" w:rsidRPr="009E4E6A">
        <w:rPr>
          <w:rFonts w:ascii="Calibri" w:hAnsi="Calibri"/>
        </w:rPr>
        <w:t>.</w:t>
      </w:r>
    </w:p>
    <w:p w14:paraId="56A921E4" w14:textId="162657C5" w:rsidR="007E18AF" w:rsidRPr="009E4E6A" w:rsidRDefault="00667263" w:rsidP="009E4E6A">
      <w:pPr>
        <w:spacing w:after="0" w:line="240" w:lineRule="auto"/>
        <w:ind w:left="1080" w:hanging="360"/>
        <w:rPr>
          <w:rFonts w:ascii="Calibri" w:hAnsi="Calibri"/>
        </w:rPr>
      </w:pPr>
      <w:r w:rsidRPr="009E4E6A">
        <w:rPr>
          <w:rFonts w:ascii="Calibri" w:hAnsi="Calibri"/>
        </w:rPr>
        <w:t>b</w:t>
      </w:r>
      <w:r w:rsidR="007E18AF" w:rsidRPr="009E4E6A">
        <w:rPr>
          <w:rFonts w:ascii="Calibri" w:hAnsi="Calibri"/>
        </w:rPr>
        <w:t>)</w:t>
      </w:r>
      <w:r w:rsidR="007E18AF" w:rsidRPr="009E4E6A">
        <w:rPr>
          <w:rFonts w:ascii="Calibri" w:hAnsi="Calibri"/>
        </w:rPr>
        <w:tab/>
        <w:t>Incorrect.</w:t>
      </w:r>
      <w:r w:rsidR="00234774" w:rsidRPr="009E4E6A">
        <w:rPr>
          <w:rFonts w:ascii="Calibri" w:hAnsi="Calibri"/>
        </w:rPr>
        <w:t xml:space="preserve"> Sole proprietorships, partnerships, S corporations, and LLCs all qualify for the DPAD with the amount limited to.  QPAI is the excess of domestic production gross receipts (DPGR) over the total cost of sales allocated to DPGR, not a percentage of taxable income.</w:t>
      </w:r>
    </w:p>
    <w:p w14:paraId="5206220D" w14:textId="5EFCC0E5" w:rsidR="00AD0541" w:rsidRPr="009E4E6A" w:rsidRDefault="00667263" w:rsidP="009E4E6A">
      <w:pPr>
        <w:spacing w:after="0" w:line="240" w:lineRule="auto"/>
        <w:ind w:left="1080" w:hanging="360"/>
        <w:rPr>
          <w:rFonts w:ascii="Calibri" w:hAnsi="Calibri"/>
        </w:rPr>
      </w:pPr>
      <w:r w:rsidRPr="009E4E6A">
        <w:rPr>
          <w:rFonts w:ascii="Calibri" w:hAnsi="Calibri"/>
        </w:rPr>
        <w:t>c</w:t>
      </w:r>
      <w:r w:rsidR="007E18AF" w:rsidRPr="009E4E6A">
        <w:rPr>
          <w:rFonts w:ascii="Calibri" w:hAnsi="Calibri"/>
        </w:rPr>
        <w:t>)</w:t>
      </w:r>
      <w:r w:rsidR="007E18AF" w:rsidRPr="009E4E6A">
        <w:rPr>
          <w:rFonts w:ascii="Calibri" w:hAnsi="Calibri"/>
        </w:rPr>
        <w:tab/>
        <w:t>Incorrect.</w:t>
      </w:r>
      <w:r w:rsidR="00234774" w:rsidRPr="009E4E6A">
        <w:rPr>
          <w:rFonts w:ascii="Calibri" w:hAnsi="Calibri"/>
        </w:rPr>
        <w:t xml:space="preserve"> Sole proprietorships, partnerships, S corporations, and LLCs all qualify for the DPAD with the amount limited to AGI.</w:t>
      </w:r>
    </w:p>
    <w:p w14:paraId="77E243CA" w14:textId="77777777" w:rsidR="00B078DD" w:rsidRPr="009E4E6A" w:rsidRDefault="00B078DD" w:rsidP="009E4E6A">
      <w:pPr>
        <w:spacing w:after="0" w:line="240" w:lineRule="auto"/>
        <w:ind w:left="1080" w:hanging="360"/>
        <w:rPr>
          <w:rFonts w:ascii="Calibri" w:hAnsi="Calibri"/>
          <w:b/>
        </w:rPr>
      </w:pPr>
      <w:r w:rsidRPr="009E4E6A">
        <w:rPr>
          <w:rFonts w:ascii="Calibri" w:hAnsi="Calibri"/>
          <w:b/>
        </w:rPr>
        <w:lastRenderedPageBreak/>
        <w:t>d)</w:t>
      </w:r>
      <w:r w:rsidRPr="009E4E6A">
        <w:rPr>
          <w:rFonts w:ascii="Calibri" w:hAnsi="Calibri"/>
          <w:b/>
        </w:rPr>
        <w:tab/>
        <w:t>Correct!</w:t>
      </w:r>
      <w:r w:rsidRPr="009E4E6A">
        <w:rPr>
          <w:rFonts w:ascii="Calibri" w:hAnsi="Calibri"/>
        </w:rPr>
        <w:t xml:space="preserve"> Sole proprietorships, partnerships, S corporations, and LLCs all qualify for the DPAD with the amount limited to AGI.  The deduction may not exceed 50% of allocable W-2 wages for all entities, not only corporations.  QPAI is the excess of domestic production gross receipts (DPGR) over the total cost of sales allocated to DPGR, not a percentage of taxable income.</w:t>
      </w:r>
    </w:p>
    <w:p w14:paraId="6F6A2053" w14:textId="77777777" w:rsidR="00CF59D5" w:rsidRPr="009E4E6A" w:rsidRDefault="00CF59D5" w:rsidP="009E4E6A">
      <w:pPr>
        <w:spacing w:after="0" w:line="240" w:lineRule="auto"/>
        <w:rPr>
          <w:rFonts w:ascii="Calibri" w:hAnsi="Calibri"/>
        </w:rPr>
      </w:pPr>
    </w:p>
    <w:p w14:paraId="75608BFC" w14:textId="2F322B61" w:rsidR="00E417FF" w:rsidRPr="009E4E6A" w:rsidRDefault="00070567" w:rsidP="009E4E6A">
      <w:pPr>
        <w:pStyle w:val="ListParagraph"/>
        <w:numPr>
          <w:ilvl w:val="0"/>
          <w:numId w:val="10"/>
        </w:numPr>
        <w:spacing w:after="0" w:line="240" w:lineRule="auto"/>
        <w:rPr>
          <w:rFonts w:ascii="Calibri" w:hAnsi="Calibri"/>
        </w:rPr>
      </w:pPr>
      <w:r w:rsidRPr="009E4E6A">
        <w:rPr>
          <w:rFonts w:ascii="Calibri" w:hAnsi="Calibri"/>
        </w:rPr>
        <w:t>Regarding the Personal Holding Company (PHC) tax, which of the following statements is true?</w:t>
      </w:r>
    </w:p>
    <w:p w14:paraId="13E733FE" w14:textId="3167FD06" w:rsidR="009034DC" w:rsidRPr="009E4E6A" w:rsidRDefault="009034DC" w:rsidP="009E4E6A">
      <w:pPr>
        <w:spacing w:after="0" w:line="240" w:lineRule="auto"/>
        <w:ind w:left="1080" w:hanging="360"/>
        <w:rPr>
          <w:rFonts w:ascii="Calibri" w:hAnsi="Calibri"/>
        </w:rPr>
      </w:pPr>
      <w:r w:rsidRPr="009E4E6A">
        <w:rPr>
          <w:rFonts w:ascii="Calibri" w:hAnsi="Calibri"/>
        </w:rPr>
        <w:t>a)</w:t>
      </w:r>
      <w:r w:rsidRPr="009E4E6A">
        <w:rPr>
          <w:rFonts w:ascii="Calibri" w:hAnsi="Calibri"/>
        </w:rPr>
        <w:tab/>
      </w:r>
      <w:r w:rsidR="008A1A20" w:rsidRPr="009E4E6A">
        <w:rPr>
          <w:rFonts w:ascii="Calibri" w:hAnsi="Calibri"/>
        </w:rPr>
        <w:t xml:space="preserve">The tax can be avoided </w:t>
      </w:r>
      <w:r w:rsidR="00EC0F56" w:rsidRPr="009E4E6A">
        <w:rPr>
          <w:rFonts w:ascii="Calibri" w:hAnsi="Calibri"/>
        </w:rPr>
        <w:t>on some undistributed</w:t>
      </w:r>
      <w:r w:rsidR="00136DFD" w:rsidRPr="009E4E6A">
        <w:rPr>
          <w:rFonts w:ascii="Calibri" w:hAnsi="Calibri"/>
        </w:rPr>
        <w:t xml:space="preserve"> PHC</w:t>
      </w:r>
      <w:r w:rsidR="008A1A20" w:rsidRPr="009E4E6A">
        <w:rPr>
          <w:rFonts w:ascii="Calibri" w:hAnsi="Calibri"/>
        </w:rPr>
        <w:t xml:space="preserve"> </w:t>
      </w:r>
      <w:r w:rsidR="00EC0F56" w:rsidRPr="009E4E6A">
        <w:rPr>
          <w:rFonts w:ascii="Calibri" w:hAnsi="Calibri"/>
        </w:rPr>
        <w:t xml:space="preserve">income if the </w:t>
      </w:r>
      <w:r w:rsidR="00136DFD" w:rsidRPr="009E4E6A">
        <w:rPr>
          <w:rFonts w:ascii="Calibri" w:hAnsi="Calibri"/>
        </w:rPr>
        <w:t>PHC</w:t>
      </w:r>
      <w:r w:rsidR="004061F8" w:rsidRPr="009E4E6A">
        <w:rPr>
          <w:rFonts w:ascii="Calibri" w:hAnsi="Calibri"/>
        </w:rPr>
        <w:t xml:space="preserve"> can demonstrate a business </w:t>
      </w:r>
      <w:r w:rsidR="001A5A7A" w:rsidRPr="009E4E6A">
        <w:rPr>
          <w:rFonts w:ascii="Calibri" w:hAnsi="Calibri"/>
        </w:rPr>
        <w:t>need for keeping the income.</w:t>
      </w:r>
      <w:r w:rsidR="006D142B" w:rsidRPr="009E4E6A">
        <w:rPr>
          <w:rFonts w:ascii="Calibri" w:hAnsi="Calibri"/>
        </w:rPr>
        <w:t xml:space="preserve"> </w:t>
      </w:r>
    </w:p>
    <w:p w14:paraId="27C261FB" w14:textId="7D62AAE3" w:rsidR="009034DC" w:rsidRPr="009E4E6A" w:rsidRDefault="009034DC" w:rsidP="009E4E6A">
      <w:pPr>
        <w:spacing w:after="0" w:line="240" w:lineRule="auto"/>
        <w:ind w:left="1080" w:hanging="360"/>
        <w:rPr>
          <w:rFonts w:ascii="Calibri" w:hAnsi="Calibri"/>
        </w:rPr>
      </w:pPr>
      <w:r w:rsidRPr="009E4E6A">
        <w:rPr>
          <w:rFonts w:ascii="Calibri" w:hAnsi="Calibri"/>
        </w:rPr>
        <w:t>b)</w:t>
      </w:r>
      <w:r w:rsidRPr="009E4E6A">
        <w:rPr>
          <w:rFonts w:ascii="Calibri" w:hAnsi="Calibri"/>
        </w:rPr>
        <w:tab/>
      </w:r>
      <w:r w:rsidR="008A1A20" w:rsidRPr="009E4E6A">
        <w:rPr>
          <w:rFonts w:ascii="Calibri" w:hAnsi="Calibri"/>
        </w:rPr>
        <w:t xml:space="preserve">Income from certain types of municipal bonds is included in personal holding company income for the purposes of the PHC tax. </w:t>
      </w:r>
    </w:p>
    <w:p w14:paraId="67359154" w14:textId="4D42D341" w:rsidR="00380E61" w:rsidRPr="009E4E6A" w:rsidRDefault="009034DC" w:rsidP="009E4E6A">
      <w:pPr>
        <w:spacing w:after="0" w:line="240" w:lineRule="auto"/>
        <w:ind w:left="1080" w:hanging="360"/>
        <w:rPr>
          <w:rFonts w:ascii="Calibri" w:hAnsi="Calibri"/>
        </w:rPr>
      </w:pPr>
      <w:r w:rsidRPr="009E4E6A">
        <w:rPr>
          <w:rFonts w:ascii="Calibri" w:hAnsi="Calibri"/>
        </w:rPr>
        <w:t>c)</w:t>
      </w:r>
      <w:r w:rsidRPr="009E4E6A">
        <w:rPr>
          <w:rFonts w:ascii="Calibri" w:hAnsi="Calibri"/>
        </w:rPr>
        <w:tab/>
      </w:r>
      <w:r w:rsidR="00472F40" w:rsidRPr="009E4E6A">
        <w:rPr>
          <w:rFonts w:ascii="Calibri" w:hAnsi="Calibri"/>
        </w:rPr>
        <w:t>The PHC tax cannot be imposed on an S corporation.</w:t>
      </w:r>
      <w:r w:rsidR="006D142B" w:rsidRPr="009E4E6A">
        <w:rPr>
          <w:rFonts w:ascii="Calibri" w:hAnsi="Calibri"/>
        </w:rPr>
        <w:t xml:space="preserve"> </w:t>
      </w:r>
    </w:p>
    <w:p w14:paraId="0D1537BC" w14:textId="17AF4A25" w:rsidR="009034DC" w:rsidRPr="009E4E6A" w:rsidRDefault="006D142B" w:rsidP="009E4E6A">
      <w:pPr>
        <w:spacing w:after="0" w:line="240" w:lineRule="auto"/>
        <w:ind w:left="1080" w:hanging="360"/>
        <w:rPr>
          <w:rFonts w:ascii="Calibri" w:hAnsi="Calibri"/>
        </w:rPr>
      </w:pPr>
      <w:r w:rsidRPr="009E4E6A">
        <w:rPr>
          <w:rFonts w:ascii="Calibri" w:hAnsi="Calibri"/>
        </w:rPr>
        <w:t>d)</w:t>
      </w:r>
      <w:r w:rsidRPr="009E4E6A">
        <w:rPr>
          <w:rFonts w:ascii="Calibri" w:hAnsi="Calibri"/>
        </w:rPr>
        <w:tab/>
        <w:t>The PHC is a penalty tax that is only paid w</w:t>
      </w:r>
      <w:r w:rsidR="00333BA0" w:rsidRPr="009E4E6A">
        <w:rPr>
          <w:rFonts w:ascii="Calibri" w:hAnsi="Calibri"/>
        </w:rPr>
        <w:t xml:space="preserve">hen the IRS assesses the tax during an audit. </w:t>
      </w:r>
    </w:p>
    <w:p w14:paraId="00CB61D7" w14:textId="2A3857BD" w:rsidR="008701DD" w:rsidRPr="009E4E6A" w:rsidRDefault="008701DD" w:rsidP="009E4E6A">
      <w:pPr>
        <w:spacing w:after="0" w:line="240" w:lineRule="auto"/>
        <w:rPr>
          <w:rFonts w:ascii="Calibri" w:hAnsi="Calibri"/>
          <w:b/>
        </w:rPr>
      </w:pPr>
    </w:p>
    <w:p w14:paraId="15752DC2" w14:textId="414DA962" w:rsidR="008701DD" w:rsidRPr="009E4E6A" w:rsidRDefault="00F059CB" w:rsidP="009E4E6A">
      <w:pPr>
        <w:spacing w:after="0" w:line="240" w:lineRule="auto"/>
        <w:ind w:left="1080" w:hanging="360"/>
        <w:rPr>
          <w:rFonts w:ascii="Calibri" w:hAnsi="Calibri"/>
        </w:rPr>
      </w:pPr>
      <w:r w:rsidRPr="009E4E6A">
        <w:rPr>
          <w:rFonts w:ascii="Calibri" w:hAnsi="Calibri"/>
        </w:rPr>
        <w:t>a</w:t>
      </w:r>
      <w:r w:rsidR="008701DD" w:rsidRPr="009E4E6A">
        <w:rPr>
          <w:rFonts w:ascii="Calibri" w:hAnsi="Calibri"/>
        </w:rPr>
        <w:t>)</w:t>
      </w:r>
      <w:r w:rsidR="008701DD" w:rsidRPr="009E4E6A">
        <w:rPr>
          <w:rFonts w:ascii="Calibri" w:hAnsi="Calibri"/>
        </w:rPr>
        <w:tab/>
        <w:t>Incorrect.</w:t>
      </w:r>
      <w:r w:rsidR="00234774" w:rsidRPr="009E4E6A">
        <w:rPr>
          <w:rFonts w:ascii="Calibri" w:hAnsi="Calibri"/>
        </w:rPr>
        <w:t xml:space="preserve">  Since an S corporation is a </w:t>
      </w:r>
      <w:r w:rsidR="00524FDD" w:rsidRPr="009E4E6A">
        <w:rPr>
          <w:rFonts w:ascii="Calibri" w:hAnsi="Calibri"/>
        </w:rPr>
        <w:t>pass-through</w:t>
      </w:r>
      <w:r w:rsidR="00234774" w:rsidRPr="009E4E6A">
        <w:rPr>
          <w:rFonts w:ascii="Calibri" w:hAnsi="Calibri"/>
        </w:rPr>
        <w:t xml:space="preserve"> entity and does not pay federal income tax, the PHC tax cannot be imposed on an S corporation.  PHC tax can only be avoided by either paying an actual dividend or as a result of a consent dividend, which is </w:t>
      </w:r>
      <w:r w:rsidR="00524FDD" w:rsidRPr="009E4E6A">
        <w:rPr>
          <w:rFonts w:ascii="Calibri" w:hAnsi="Calibri"/>
        </w:rPr>
        <w:t>a hypothetical dividend the corporation pays taxes on</w:t>
      </w:r>
      <w:r w:rsidR="008547D3" w:rsidRPr="009E4E6A">
        <w:rPr>
          <w:rFonts w:ascii="Calibri" w:hAnsi="Calibri"/>
        </w:rPr>
        <w:t xml:space="preserve"> but does not actually distribute to shareholders</w:t>
      </w:r>
      <w:r w:rsidR="00DC6C07" w:rsidRPr="009E4E6A">
        <w:rPr>
          <w:rFonts w:ascii="Calibri" w:hAnsi="Calibri"/>
        </w:rPr>
        <w:t>.</w:t>
      </w:r>
    </w:p>
    <w:p w14:paraId="4B691BE0" w14:textId="5B67E2C0" w:rsidR="008701DD" w:rsidRPr="009E4E6A" w:rsidRDefault="00F059CB" w:rsidP="009E4E6A">
      <w:pPr>
        <w:spacing w:after="0" w:line="240" w:lineRule="auto"/>
        <w:ind w:left="1080" w:hanging="360"/>
        <w:rPr>
          <w:rFonts w:ascii="Calibri" w:hAnsi="Calibri"/>
        </w:rPr>
      </w:pPr>
      <w:r w:rsidRPr="009E4E6A">
        <w:rPr>
          <w:rFonts w:ascii="Calibri" w:hAnsi="Calibri"/>
        </w:rPr>
        <w:t>b</w:t>
      </w:r>
      <w:r w:rsidR="008701DD" w:rsidRPr="009E4E6A">
        <w:rPr>
          <w:rFonts w:ascii="Calibri" w:hAnsi="Calibri"/>
        </w:rPr>
        <w:t>)</w:t>
      </w:r>
      <w:r w:rsidR="008701DD" w:rsidRPr="009E4E6A">
        <w:rPr>
          <w:rFonts w:ascii="Calibri" w:hAnsi="Calibri"/>
        </w:rPr>
        <w:tab/>
        <w:t>Incorrect.</w:t>
      </w:r>
      <w:r w:rsidR="00DC6C07" w:rsidRPr="009E4E6A">
        <w:rPr>
          <w:rFonts w:ascii="Calibri" w:hAnsi="Calibri"/>
        </w:rPr>
        <w:t xml:space="preserve"> Since an S corporation is a </w:t>
      </w:r>
      <w:r w:rsidR="00524FDD" w:rsidRPr="009E4E6A">
        <w:rPr>
          <w:rFonts w:ascii="Calibri" w:hAnsi="Calibri"/>
        </w:rPr>
        <w:t>pass-through</w:t>
      </w:r>
      <w:r w:rsidR="00DC6C07" w:rsidRPr="009E4E6A">
        <w:rPr>
          <w:rFonts w:ascii="Calibri" w:hAnsi="Calibri"/>
        </w:rPr>
        <w:t xml:space="preserve"> entity and does not pay federal income tax, the PHC tax cannot be imposed on an S corporation.  Since the purpose of the PHC tax is to prevent taxpayers from being able to pay tax on investment income at a lower corporate rate than if taxed individually, it does not apply to interest income on municipal bonds, which is tax exempt.</w:t>
      </w:r>
    </w:p>
    <w:p w14:paraId="78CCDB4E" w14:textId="6606423C" w:rsidR="007C49D3" w:rsidRPr="009E4E6A" w:rsidRDefault="007C49D3" w:rsidP="009E4E6A">
      <w:pPr>
        <w:spacing w:after="0" w:line="240" w:lineRule="auto"/>
        <w:ind w:left="1080" w:hanging="360"/>
        <w:rPr>
          <w:rFonts w:ascii="Calibri" w:hAnsi="Calibri"/>
        </w:rPr>
      </w:pPr>
      <w:r w:rsidRPr="009E4E6A">
        <w:rPr>
          <w:rFonts w:ascii="Calibri" w:hAnsi="Calibri"/>
          <w:b/>
        </w:rPr>
        <w:t>c)</w:t>
      </w:r>
      <w:r w:rsidRPr="009E4E6A">
        <w:rPr>
          <w:rFonts w:ascii="Calibri" w:hAnsi="Calibri"/>
          <w:b/>
        </w:rPr>
        <w:tab/>
        <w:t>Correct!</w:t>
      </w:r>
      <w:r w:rsidRPr="009E4E6A">
        <w:rPr>
          <w:rFonts w:ascii="Calibri" w:hAnsi="Calibri"/>
        </w:rPr>
        <w:t xml:space="preserve"> Since an S corporation is a pass-through entity and does not pay federal income tax, the PHC tax cannot be imposed on an S corporation.  PHC tax can only be avoided by either paying an actual dividend or as a result of a consent dividend, which is a hypothetical dividend the corporation pays taxes on but does not actually distribute to shareholders.  Since the purpose of the PHC tax is to prevent taxpayers from being able to pay tax on investment income at a lower corporate rate than if taxed individually, it does not apply to interest income on municipal bonds, which is tax exempt.  The PHC tax is a self-assessed penalty tax and does not require an IRS assessment.</w:t>
      </w:r>
    </w:p>
    <w:p w14:paraId="1A5F3421" w14:textId="3B72CAE6" w:rsidR="008701DD" w:rsidRPr="009E4E6A" w:rsidRDefault="008701DD" w:rsidP="009E4E6A">
      <w:pPr>
        <w:spacing w:after="0" w:line="240" w:lineRule="auto"/>
        <w:ind w:left="1080" w:hanging="360"/>
        <w:rPr>
          <w:rFonts w:ascii="Calibri" w:hAnsi="Calibri"/>
        </w:rPr>
      </w:pPr>
      <w:r w:rsidRPr="009E4E6A">
        <w:rPr>
          <w:rFonts w:ascii="Calibri" w:hAnsi="Calibri"/>
        </w:rPr>
        <w:t>d)</w:t>
      </w:r>
      <w:r w:rsidRPr="009E4E6A">
        <w:rPr>
          <w:rFonts w:ascii="Calibri" w:hAnsi="Calibri"/>
        </w:rPr>
        <w:tab/>
        <w:t>Incorrect.</w:t>
      </w:r>
      <w:r w:rsidR="00DC6C07" w:rsidRPr="009E4E6A">
        <w:rPr>
          <w:rFonts w:ascii="Calibri" w:hAnsi="Calibri"/>
        </w:rPr>
        <w:t xml:space="preserve"> Since an S corporation is a </w:t>
      </w:r>
      <w:r w:rsidR="00524FDD" w:rsidRPr="009E4E6A">
        <w:rPr>
          <w:rFonts w:ascii="Calibri" w:hAnsi="Calibri"/>
        </w:rPr>
        <w:t>pass-through</w:t>
      </w:r>
      <w:r w:rsidR="00DC6C07" w:rsidRPr="009E4E6A">
        <w:rPr>
          <w:rFonts w:ascii="Calibri" w:hAnsi="Calibri"/>
        </w:rPr>
        <w:t xml:space="preserve"> entity and does not pay federal income tax, the PHC tax cannot be imposed on an S corporation.  The PHC tax is a self-assessed penalty tax and does not require an IRS assessment.</w:t>
      </w:r>
    </w:p>
    <w:p w14:paraId="4925AFEB" w14:textId="77777777" w:rsidR="00916C0C" w:rsidRPr="009E4E6A" w:rsidRDefault="00916C0C" w:rsidP="009E4E6A">
      <w:pPr>
        <w:spacing w:after="0" w:line="240" w:lineRule="auto"/>
        <w:rPr>
          <w:rFonts w:ascii="Calibri" w:hAnsi="Calibri"/>
        </w:rPr>
      </w:pPr>
    </w:p>
    <w:p w14:paraId="3D427AF4" w14:textId="1165AC45" w:rsidR="006B1C8F" w:rsidRDefault="006B1C8F" w:rsidP="009E4E6A">
      <w:pPr>
        <w:pStyle w:val="ListParagraph"/>
        <w:numPr>
          <w:ilvl w:val="0"/>
          <w:numId w:val="11"/>
        </w:numPr>
        <w:spacing w:after="0" w:line="240" w:lineRule="auto"/>
        <w:rPr>
          <w:rFonts w:ascii="Calibri" w:hAnsi="Calibri"/>
        </w:rPr>
      </w:pPr>
      <w:r w:rsidRPr="009E4E6A">
        <w:rPr>
          <w:rFonts w:ascii="Calibri" w:hAnsi="Calibri"/>
        </w:rPr>
        <w:t>Regarding the Accumulated Earnings Tax (AET), which of the following statements is true?</w:t>
      </w:r>
    </w:p>
    <w:p w14:paraId="6CC7E569" w14:textId="77777777" w:rsidR="009E4E6A" w:rsidRPr="009E4E6A" w:rsidRDefault="009E4E6A" w:rsidP="009E4E6A">
      <w:pPr>
        <w:pStyle w:val="ListParagraph"/>
        <w:spacing w:after="0" w:line="240" w:lineRule="auto"/>
        <w:rPr>
          <w:rFonts w:ascii="Calibri" w:hAnsi="Calibri"/>
        </w:rPr>
      </w:pPr>
    </w:p>
    <w:p w14:paraId="3A73C52C" w14:textId="6FB1EC6F" w:rsidR="00B910F9" w:rsidRPr="009E4E6A" w:rsidRDefault="00B910F9" w:rsidP="009E4E6A">
      <w:pPr>
        <w:spacing w:after="0" w:line="240" w:lineRule="auto"/>
        <w:ind w:left="1080" w:hanging="360"/>
        <w:rPr>
          <w:rFonts w:ascii="Calibri" w:hAnsi="Calibri"/>
        </w:rPr>
      </w:pPr>
      <w:r w:rsidRPr="009E4E6A">
        <w:rPr>
          <w:rFonts w:ascii="Calibri" w:hAnsi="Calibri"/>
        </w:rPr>
        <w:t>a)</w:t>
      </w:r>
      <w:r w:rsidRPr="009E4E6A">
        <w:rPr>
          <w:rFonts w:ascii="Calibri" w:hAnsi="Calibri"/>
        </w:rPr>
        <w:tab/>
      </w:r>
      <w:r w:rsidR="00C17C6D" w:rsidRPr="009E4E6A">
        <w:rPr>
          <w:rFonts w:ascii="Calibri" w:hAnsi="Calibri"/>
        </w:rPr>
        <w:t>Corporations determine AET</w:t>
      </w:r>
      <w:r w:rsidR="001E5475" w:rsidRPr="009E4E6A">
        <w:rPr>
          <w:rFonts w:ascii="Calibri" w:hAnsi="Calibri"/>
        </w:rPr>
        <w:t xml:space="preserve"> </w:t>
      </w:r>
      <w:r w:rsidR="000443B7" w:rsidRPr="009E4E6A">
        <w:rPr>
          <w:rFonts w:ascii="Calibri" w:hAnsi="Calibri"/>
        </w:rPr>
        <w:t>by filing</w:t>
      </w:r>
      <w:r w:rsidR="001E5475" w:rsidRPr="009E4E6A">
        <w:rPr>
          <w:rFonts w:ascii="Calibri" w:hAnsi="Calibri"/>
        </w:rPr>
        <w:t xml:space="preserve"> Form 1120-</w:t>
      </w:r>
      <w:r w:rsidR="00E022FF" w:rsidRPr="009E4E6A">
        <w:rPr>
          <w:rFonts w:ascii="Calibri" w:hAnsi="Calibri"/>
        </w:rPr>
        <w:t>AET</w:t>
      </w:r>
      <w:r w:rsidR="00BA6D4F" w:rsidRPr="009E4E6A">
        <w:rPr>
          <w:rFonts w:ascii="Calibri" w:hAnsi="Calibri"/>
        </w:rPr>
        <w:t xml:space="preserve"> along with the corporate tax return.</w:t>
      </w:r>
      <w:r w:rsidR="005F3329" w:rsidRPr="009E4E6A">
        <w:rPr>
          <w:rFonts w:ascii="Calibri" w:hAnsi="Calibri"/>
        </w:rPr>
        <w:t xml:space="preserve"> </w:t>
      </w:r>
    </w:p>
    <w:p w14:paraId="065FFD5C" w14:textId="17C85E28" w:rsidR="00B910F9" w:rsidRPr="009E4E6A" w:rsidRDefault="00B910F9" w:rsidP="009E4E6A">
      <w:pPr>
        <w:spacing w:after="0" w:line="240" w:lineRule="auto"/>
        <w:ind w:left="1080" w:hanging="360"/>
        <w:rPr>
          <w:rFonts w:ascii="Calibri" w:hAnsi="Calibri"/>
        </w:rPr>
      </w:pPr>
      <w:r w:rsidRPr="009E4E6A">
        <w:rPr>
          <w:rFonts w:ascii="Calibri" w:hAnsi="Calibri"/>
        </w:rPr>
        <w:t>b)</w:t>
      </w:r>
      <w:r w:rsidRPr="009E4E6A">
        <w:rPr>
          <w:rFonts w:ascii="Calibri" w:hAnsi="Calibri"/>
        </w:rPr>
        <w:tab/>
      </w:r>
      <w:r w:rsidR="006B1C8F" w:rsidRPr="009E4E6A">
        <w:rPr>
          <w:rFonts w:ascii="Calibri" w:hAnsi="Calibri"/>
        </w:rPr>
        <w:t xml:space="preserve">Paying the Personal Holding Company tax in a given </w:t>
      </w:r>
      <w:r w:rsidR="00E022FF" w:rsidRPr="009E4E6A">
        <w:rPr>
          <w:rFonts w:ascii="Calibri" w:hAnsi="Calibri"/>
        </w:rPr>
        <w:t xml:space="preserve">tax </w:t>
      </w:r>
      <w:r w:rsidR="006B1C8F" w:rsidRPr="009E4E6A">
        <w:rPr>
          <w:rFonts w:ascii="Calibri" w:hAnsi="Calibri"/>
        </w:rPr>
        <w:t xml:space="preserve">year eliminates any need to pay AET </w:t>
      </w:r>
      <w:r w:rsidR="00E022FF" w:rsidRPr="009E4E6A">
        <w:rPr>
          <w:rFonts w:ascii="Calibri" w:hAnsi="Calibri"/>
        </w:rPr>
        <w:t>for</w:t>
      </w:r>
      <w:r w:rsidR="006B1C8F" w:rsidRPr="009E4E6A">
        <w:rPr>
          <w:rFonts w:ascii="Calibri" w:hAnsi="Calibri"/>
        </w:rPr>
        <w:t xml:space="preserve"> that year. </w:t>
      </w:r>
    </w:p>
    <w:p w14:paraId="2B8753C4" w14:textId="7CD0D382" w:rsidR="00B910F9" w:rsidRPr="009E4E6A" w:rsidRDefault="00B910F9" w:rsidP="009E4E6A">
      <w:pPr>
        <w:spacing w:after="0" w:line="240" w:lineRule="auto"/>
        <w:ind w:left="1080" w:hanging="360"/>
        <w:rPr>
          <w:rFonts w:ascii="Calibri" w:hAnsi="Calibri"/>
        </w:rPr>
      </w:pPr>
      <w:r w:rsidRPr="009E4E6A">
        <w:rPr>
          <w:rFonts w:ascii="Calibri" w:hAnsi="Calibri"/>
        </w:rPr>
        <w:t>c)</w:t>
      </w:r>
      <w:r w:rsidRPr="009E4E6A">
        <w:rPr>
          <w:rFonts w:ascii="Calibri" w:hAnsi="Calibri"/>
        </w:rPr>
        <w:tab/>
      </w:r>
      <w:r w:rsidR="000443B7" w:rsidRPr="009E4E6A">
        <w:rPr>
          <w:rFonts w:ascii="Calibri" w:hAnsi="Calibri"/>
        </w:rPr>
        <w:t xml:space="preserve">A domestic manufacturer with less than $2.5 million in gross receipts is automatically exempt from </w:t>
      </w:r>
      <w:r w:rsidR="0021540F" w:rsidRPr="009E4E6A">
        <w:rPr>
          <w:rFonts w:ascii="Calibri" w:hAnsi="Calibri"/>
        </w:rPr>
        <w:t xml:space="preserve">consideration for AET. </w:t>
      </w:r>
    </w:p>
    <w:p w14:paraId="3F6842EB" w14:textId="4C86DC8D" w:rsidR="00B910F9" w:rsidRPr="009E4E6A" w:rsidRDefault="00B910F9" w:rsidP="009E4E6A">
      <w:pPr>
        <w:spacing w:after="0" w:line="240" w:lineRule="auto"/>
        <w:ind w:left="1080" w:hanging="360"/>
        <w:rPr>
          <w:rFonts w:ascii="Calibri" w:hAnsi="Calibri"/>
        </w:rPr>
      </w:pPr>
      <w:r w:rsidRPr="009E4E6A">
        <w:rPr>
          <w:rFonts w:ascii="Calibri" w:hAnsi="Calibri"/>
        </w:rPr>
        <w:t>d)</w:t>
      </w:r>
      <w:r w:rsidRPr="009E4E6A">
        <w:rPr>
          <w:rFonts w:ascii="Calibri" w:hAnsi="Calibri"/>
        </w:rPr>
        <w:tab/>
      </w:r>
      <w:r w:rsidR="002C7E5B" w:rsidRPr="009E4E6A">
        <w:rPr>
          <w:rFonts w:ascii="Calibri" w:hAnsi="Calibri"/>
        </w:rPr>
        <w:t xml:space="preserve">Loans to </w:t>
      </w:r>
      <w:r w:rsidR="000E0CFD" w:rsidRPr="009E4E6A">
        <w:rPr>
          <w:rFonts w:ascii="Calibri" w:hAnsi="Calibri"/>
        </w:rPr>
        <w:t xml:space="preserve">suppliers, customers and </w:t>
      </w:r>
      <w:r w:rsidR="002C7E5B" w:rsidRPr="009E4E6A">
        <w:rPr>
          <w:rFonts w:ascii="Calibri" w:hAnsi="Calibri"/>
        </w:rPr>
        <w:t>shareholders are considered reasonable business needs for the purpose of assessing AET.</w:t>
      </w:r>
    </w:p>
    <w:p w14:paraId="1DDC1807" w14:textId="545B582A" w:rsidR="00DE7BA4" w:rsidRPr="009E4E6A" w:rsidRDefault="00DE7BA4" w:rsidP="009E4E6A">
      <w:pPr>
        <w:spacing w:after="0" w:line="240" w:lineRule="auto"/>
        <w:rPr>
          <w:rFonts w:ascii="Calibri" w:hAnsi="Calibri"/>
          <w:b/>
        </w:rPr>
      </w:pPr>
    </w:p>
    <w:p w14:paraId="1F927DA4" w14:textId="2E2B3E91" w:rsidR="00DE7BA4" w:rsidRPr="009E4E6A" w:rsidRDefault="000E214F" w:rsidP="009E4E6A">
      <w:pPr>
        <w:spacing w:after="0" w:line="240" w:lineRule="auto"/>
        <w:ind w:left="1080" w:hanging="360"/>
        <w:rPr>
          <w:rFonts w:ascii="Calibri" w:hAnsi="Calibri"/>
        </w:rPr>
      </w:pPr>
      <w:r w:rsidRPr="009E4E6A">
        <w:rPr>
          <w:rFonts w:ascii="Calibri" w:hAnsi="Calibri"/>
        </w:rPr>
        <w:t>a</w:t>
      </w:r>
      <w:r w:rsidR="00DE7BA4" w:rsidRPr="009E4E6A">
        <w:rPr>
          <w:rFonts w:ascii="Calibri" w:hAnsi="Calibri"/>
        </w:rPr>
        <w:t>)</w:t>
      </w:r>
      <w:r w:rsidR="00DE7BA4" w:rsidRPr="009E4E6A">
        <w:rPr>
          <w:rFonts w:ascii="Calibri" w:hAnsi="Calibri"/>
        </w:rPr>
        <w:tab/>
        <w:t>Incorrect.</w:t>
      </w:r>
      <w:r w:rsidR="00B01312" w:rsidRPr="009E4E6A">
        <w:rPr>
          <w:rFonts w:ascii="Calibri" w:hAnsi="Calibri"/>
        </w:rPr>
        <w:t xml:space="preserve">  Since both the AET and the PHC tax are taxes on undistributed earnings, a</w:t>
      </w:r>
      <w:r w:rsidR="003765A0" w:rsidRPr="009E4E6A">
        <w:rPr>
          <w:rFonts w:ascii="Calibri" w:hAnsi="Calibri"/>
        </w:rPr>
        <w:t xml:space="preserve"> PHC</w:t>
      </w:r>
      <w:r w:rsidR="00B01312" w:rsidRPr="009E4E6A">
        <w:rPr>
          <w:rFonts w:ascii="Calibri" w:hAnsi="Calibri"/>
        </w:rPr>
        <w:t xml:space="preserve"> taxpayer can avoid the AET by paying the PHC tax, which is self-assessed. The AET tax is assessed as a result of a tax audit, not as a result of the taxpayer filing a form.</w:t>
      </w:r>
    </w:p>
    <w:p w14:paraId="23743031" w14:textId="77777777" w:rsidR="002E1683" w:rsidRPr="009E4E6A" w:rsidRDefault="002E1683" w:rsidP="009E4E6A">
      <w:pPr>
        <w:spacing w:after="0" w:line="240" w:lineRule="auto"/>
        <w:ind w:left="1080" w:hanging="360"/>
        <w:rPr>
          <w:rFonts w:ascii="Calibri" w:hAnsi="Calibri"/>
          <w:b/>
        </w:rPr>
      </w:pPr>
      <w:r w:rsidRPr="009E4E6A">
        <w:rPr>
          <w:rFonts w:ascii="Calibri" w:hAnsi="Calibri"/>
          <w:b/>
        </w:rPr>
        <w:lastRenderedPageBreak/>
        <w:t>b)</w:t>
      </w:r>
      <w:r w:rsidRPr="009E4E6A">
        <w:rPr>
          <w:rFonts w:ascii="Calibri" w:hAnsi="Calibri"/>
          <w:b/>
        </w:rPr>
        <w:tab/>
        <w:t>Correct!</w:t>
      </w:r>
      <w:r w:rsidRPr="009E4E6A">
        <w:rPr>
          <w:rFonts w:ascii="Calibri" w:hAnsi="Calibri"/>
        </w:rPr>
        <w:t xml:space="preserve"> Since both the AET and the PHC tax are taxes on undistributed earnings, a PHC taxpayer can avoid the AET by paying the PHC tax, which is self-assessed. The AET tax is assessed as a result of a tax audit, not as a result of the taxpayer filing a form.  There is no automatic exemption from AET for manufacturers with gross receipts under $2.5 million.  Although loans to suppliers and customers may be considered reasonable business needs when evaluating the AET, loans to shareholders are not.</w:t>
      </w:r>
    </w:p>
    <w:p w14:paraId="51EABFCA" w14:textId="76C5092F" w:rsidR="00DE7BA4" w:rsidRPr="009E4E6A" w:rsidRDefault="009C11BA" w:rsidP="009E4E6A">
      <w:pPr>
        <w:spacing w:after="0" w:line="240" w:lineRule="auto"/>
        <w:ind w:left="1080" w:hanging="360"/>
        <w:rPr>
          <w:rFonts w:ascii="Calibri" w:hAnsi="Calibri"/>
        </w:rPr>
      </w:pPr>
      <w:r w:rsidRPr="009E4E6A">
        <w:rPr>
          <w:rFonts w:ascii="Calibri" w:hAnsi="Calibri"/>
        </w:rPr>
        <w:t>c)</w:t>
      </w:r>
      <w:r w:rsidR="00DE7BA4" w:rsidRPr="009E4E6A">
        <w:rPr>
          <w:rFonts w:ascii="Calibri" w:hAnsi="Calibri"/>
        </w:rPr>
        <w:tab/>
        <w:t>Incorrect.</w:t>
      </w:r>
      <w:r w:rsidR="00B01312" w:rsidRPr="009E4E6A">
        <w:rPr>
          <w:rFonts w:ascii="Calibri" w:hAnsi="Calibri"/>
        </w:rPr>
        <w:t xml:space="preserve"> Since both the AET and the PHC tax are taxes on undistributed earnings, a </w:t>
      </w:r>
      <w:r w:rsidR="003765A0" w:rsidRPr="009E4E6A">
        <w:rPr>
          <w:rFonts w:ascii="Calibri" w:hAnsi="Calibri"/>
        </w:rPr>
        <w:t xml:space="preserve">PHC </w:t>
      </w:r>
      <w:r w:rsidR="00B01312" w:rsidRPr="009E4E6A">
        <w:rPr>
          <w:rFonts w:ascii="Calibri" w:hAnsi="Calibri"/>
        </w:rPr>
        <w:t xml:space="preserve">taxpayer can avoid the AET by paying the PHC tax, which is self-assessed.  There is no </w:t>
      </w:r>
      <w:r w:rsidR="003765A0" w:rsidRPr="009E4E6A">
        <w:rPr>
          <w:rFonts w:ascii="Calibri" w:hAnsi="Calibri"/>
        </w:rPr>
        <w:t xml:space="preserve">automatic </w:t>
      </w:r>
      <w:r w:rsidR="00B01312" w:rsidRPr="009E4E6A">
        <w:rPr>
          <w:rFonts w:ascii="Calibri" w:hAnsi="Calibri"/>
        </w:rPr>
        <w:t>exemption from AET for manufacturers with gross receipts under $2.5 million.</w:t>
      </w:r>
    </w:p>
    <w:p w14:paraId="35CC7F9A" w14:textId="7FFE3BBE" w:rsidR="00DE7BA4" w:rsidRPr="009E4E6A" w:rsidRDefault="009C11BA" w:rsidP="009E4E6A">
      <w:pPr>
        <w:spacing w:after="0" w:line="240" w:lineRule="auto"/>
        <w:ind w:left="1080" w:hanging="360"/>
        <w:rPr>
          <w:rFonts w:ascii="Calibri" w:hAnsi="Calibri"/>
        </w:rPr>
      </w:pPr>
      <w:r w:rsidRPr="009E4E6A">
        <w:rPr>
          <w:rFonts w:ascii="Calibri" w:hAnsi="Calibri"/>
        </w:rPr>
        <w:t>d</w:t>
      </w:r>
      <w:r w:rsidR="00DE7BA4" w:rsidRPr="009E4E6A">
        <w:rPr>
          <w:rFonts w:ascii="Calibri" w:hAnsi="Calibri"/>
        </w:rPr>
        <w:t>)</w:t>
      </w:r>
      <w:r w:rsidR="00DE7BA4" w:rsidRPr="009E4E6A">
        <w:rPr>
          <w:rFonts w:ascii="Calibri" w:hAnsi="Calibri"/>
        </w:rPr>
        <w:tab/>
        <w:t>Incorrect.</w:t>
      </w:r>
      <w:r w:rsidR="00B01312" w:rsidRPr="009E4E6A">
        <w:rPr>
          <w:rFonts w:ascii="Calibri" w:hAnsi="Calibri"/>
        </w:rPr>
        <w:t xml:space="preserve"> Since both the AET and the PHC tax are taxes on undistributed earnings, a </w:t>
      </w:r>
      <w:r w:rsidR="003765A0" w:rsidRPr="009E4E6A">
        <w:rPr>
          <w:rFonts w:ascii="Calibri" w:hAnsi="Calibri"/>
        </w:rPr>
        <w:t xml:space="preserve">PHC </w:t>
      </w:r>
      <w:r w:rsidR="00B01312" w:rsidRPr="009E4E6A">
        <w:rPr>
          <w:rFonts w:ascii="Calibri" w:hAnsi="Calibri"/>
        </w:rPr>
        <w:t xml:space="preserve">taxpayer can avoid the AET by paying the PHC tax, which is self-assessed.  Although loans to suppliers and customers may be considered reasonable business needs when evaluating the AET, loans to shareholders </w:t>
      </w:r>
      <w:r w:rsidR="003765A0" w:rsidRPr="009E4E6A">
        <w:rPr>
          <w:rFonts w:ascii="Calibri" w:hAnsi="Calibri"/>
        </w:rPr>
        <w:t>are</w:t>
      </w:r>
      <w:r w:rsidR="00B01312" w:rsidRPr="009E4E6A">
        <w:rPr>
          <w:rFonts w:ascii="Calibri" w:hAnsi="Calibri"/>
        </w:rPr>
        <w:t xml:space="preserve"> not.</w:t>
      </w:r>
    </w:p>
    <w:p w14:paraId="3674579E" w14:textId="059F2B22" w:rsidR="001E5475" w:rsidRPr="009E4E6A" w:rsidRDefault="001E5475" w:rsidP="009E4E6A">
      <w:pPr>
        <w:spacing w:after="0" w:line="240" w:lineRule="auto"/>
        <w:rPr>
          <w:rFonts w:ascii="Calibri" w:hAnsi="Calibri"/>
        </w:rPr>
      </w:pPr>
    </w:p>
    <w:p w14:paraId="54A6CBD6" w14:textId="15BC9859" w:rsidR="00396FD1" w:rsidRPr="009E4E6A" w:rsidRDefault="00700B09" w:rsidP="009E4E6A">
      <w:pPr>
        <w:pStyle w:val="ListParagraph"/>
        <w:numPr>
          <w:ilvl w:val="0"/>
          <w:numId w:val="11"/>
        </w:numPr>
        <w:spacing w:after="0" w:line="240" w:lineRule="auto"/>
        <w:rPr>
          <w:rFonts w:ascii="Calibri" w:hAnsi="Calibri"/>
        </w:rPr>
      </w:pPr>
      <w:r w:rsidRPr="009E4E6A">
        <w:rPr>
          <w:rFonts w:ascii="Calibri" w:hAnsi="Calibri"/>
        </w:rPr>
        <w:t>Identify any item or items below which are added to Alternative Minimum Taxable Income (AMTI) in order to compute the Adjusted Current Earnings (ACE) adjustment.</w:t>
      </w:r>
    </w:p>
    <w:p w14:paraId="37FCD1E8" w14:textId="77777777" w:rsidR="002E1683" w:rsidRPr="009E4E6A" w:rsidRDefault="002E1683" w:rsidP="009E4E6A">
      <w:pPr>
        <w:pStyle w:val="ListParagraph"/>
        <w:spacing w:after="0" w:line="240" w:lineRule="auto"/>
        <w:rPr>
          <w:rFonts w:ascii="Calibri" w:hAnsi="Calibri"/>
        </w:rPr>
      </w:pPr>
    </w:p>
    <w:p w14:paraId="1DE6A317" w14:textId="77777777" w:rsidR="00700B09" w:rsidRPr="009E4E6A" w:rsidRDefault="00700B09" w:rsidP="009E4E6A">
      <w:pPr>
        <w:pStyle w:val="ListParagraph"/>
        <w:numPr>
          <w:ilvl w:val="0"/>
          <w:numId w:val="9"/>
        </w:numPr>
        <w:spacing w:after="0" w:line="240" w:lineRule="auto"/>
        <w:ind w:hanging="360"/>
        <w:rPr>
          <w:rFonts w:ascii="Calibri" w:hAnsi="Calibri"/>
        </w:rPr>
      </w:pPr>
      <w:r w:rsidRPr="009E4E6A">
        <w:rPr>
          <w:rFonts w:ascii="Calibri" w:hAnsi="Calibri"/>
        </w:rPr>
        <w:t>Dividends-received deduction o</w:t>
      </w:r>
      <w:r w:rsidR="0032143A" w:rsidRPr="009E4E6A">
        <w:rPr>
          <w:rFonts w:ascii="Calibri" w:hAnsi="Calibri"/>
        </w:rPr>
        <w:t>n dividends received from a 20%-</w:t>
      </w:r>
      <w:r w:rsidRPr="009E4E6A">
        <w:rPr>
          <w:rFonts w:ascii="Calibri" w:hAnsi="Calibri"/>
        </w:rPr>
        <w:t>owned corporation.</w:t>
      </w:r>
    </w:p>
    <w:p w14:paraId="340B74BC" w14:textId="77777777" w:rsidR="00081921" w:rsidRPr="009E4E6A" w:rsidRDefault="00081921" w:rsidP="009E4E6A">
      <w:pPr>
        <w:pStyle w:val="ListParagraph"/>
        <w:numPr>
          <w:ilvl w:val="0"/>
          <w:numId w:val="9"/>
        </w:numPr>
        <w:spacing w:after="0" w:line="240" w:lineRule="auto"/>
        <w:ind w:hanging="360"/>
        <w:rPr>
          <w:rFonts w:ascii="Calibri" w:hAnsi="Calibri"/>
        </w:rPr>
      </w:pPr>
      <w:r w:rsidRPr="009E4E6A">
        <w:rPr>
          <w:rFonts w:ascii="Calibri" w:hAnsi="Calibri"/>
        </w:rPr>
        <w:t>Municipal bond interest, excluding any muni</w:t>
      </w:r>
      <w:r w:rsidR="008B6935" w:rsidRPr="009E4E6A">
        <w:rPr>
          <w:rFonts w:ascii="Calibri" w:hAnsi="Calibri"/>
        </w:rPr>
        <w:t>cipal bond interest</w:t>
      </w:r>
      <w:r w:rsidRPr="009E4E6A">
        <w:rPr>
          <w:rFonts w:ascii="Calibri" w:hAnsi="Calibri"/>
        </w:rPr>
        <w:t xml:space="preserve"> already included in AMTI.</w:t>
      </w:r>
    </w:p>
    <w:p w14:paraId="368A1FCC" w14:textId="77777777" w:rsidR="00700B09" w:rsidRPr="009E4E6A" w:rsidRDefault="00081921" w:rsidP="009E4E6A">
      <w:pPr>
        <w:pStyle w:val="ListParagraph"/>
        <w:numPr>
          <w:ilvl w:val="0"/>
          <w:numId w:val="9"/>
        </w:numPr>
        <w:spacing w:after="0" w:line="240" w:lineRule="auto"/>
        <w:ind w:hanging="360"/>
        <w:rPr>
          <w:rFonts w:ascii="Calibri" w:hAnsi="Calibri"/>
        </w:rPr>
      </w:pPr>
      <w:r w:rsidRPr="009E4E6A">
        <w:rPr>
          <w:rFonts w:ascii="Calibri" w:hAnsi="Calibri"/>
        </w:rPr>
        <w:t>Life insurance proceeds on the death of a key employee.</w:t>
      </w:r>
    </w:p>
    <w:p w14:paraId="6BF2A43B" w14:textId="77777777" w:rsidR="00081921" w:rsidRPr="009E4E6A" w:rsidRDefault="00081921" w:rsidP="009E4E6A">
      <w:pPr>
        <w:pStyle w:val="ListParagraph"/>
        <w:spacing w:after="0" w:line="240" w:lineRule="auto"/>
        <w:ind w:left="1080"/>
        <w:rPr>
          <w:rFonts w:ascii="Calibri" w:hAnsi="Calibri"/>
        </w:rPr>
      </w:pPr>
    </w:p>
    <w:p w14:paraId="56936471" w14:textId="77777777" w:rsidR="00832C52" w:rsidRPr="009E4E6A" w:rsidRDefault="00081921" w:rsidP="009E4E6A">
      <w:pPr>
        <w:pStyle w:val="ListParagraph"/>
        <w:numPr>
          <w:ilvl w:val="0"/>
          <w:numId w:val="8"/>
        </w:numPr>
        <w:spacing w:after="0" w:line="240" w:lineRule="auto"/>
        <w:ind w:left="1080"/>
        <w:rPr>
          <w:rFonts w:ascii="Calibri" w:hAnsi="Calibri"/>
        </w:rPr>
      </w:pPr>
      <w:r w:rsidRPr="009E4E6A">
        <w:rPr>
          <w:rFonts w:ascii="Calibri" w:hAnsi="Calibri"/>
        </w:rPr>
        <w:t>I and III only.</w:t>
      </w:r>
    </w:p>
    <w:p w14:paraId="6F812A60" w14:textId="77777777" w:rsidR="00832C52" w:rsidRPr="009E4E6A" w:rsidRDefault="00081921" w:rsidP="009E4E6A">
      <w:pPr>
        <w:pStyle w:val="ListParagraph"/>
        <w:numPr>
          <w:ilvl w:val="0"/>
          <w:numId w:val="8"/>
        </w:numPr>
        <w:spacing w:after="0" w:line="240" w:lineRule="auto"/>
        <w:ind w:left="1080"/>
        <w:rPr>
          <w:rFonts w:ascii="Calibri" w:hAnsi="Calibri"/>
        </w:rPr>
      </w:pPr>
      <w:r w:rsidRPr="009E4E6A">
        <w:rPr>
          <w:rFonts w:ascii="Calibri" w:hAnsi="Calibri"/>
        </w:rPr>
        <w:t>I, II and III.</w:t>
      </w:r>
    </w:p>
    <w:p w14:paraId="49439139" w14:textId="77777777" w:rsidR="00832C52" w:rsidRPr="009E4E6A" w:rsidRDefault="00081921" w:rsidP="009E4E6A">
      <w:pPr>
        <w:pStyle w:val="ListParagraph"/>
        <w:numPr>
          <w:ilvl w:val="0"/>
          <w:numId w:val="8"/>
        </w:numPr>
        <w:spacing w:after="0" w:line="240" w:lineRule="auto"/>
        <w:ind w:left="1080"/>
        <w:rPr>
          <w:rFonts w:ascii="Calibri" w:hAnsi="Calibri"/>
        </w:rPr>
      </w:pPr>
      <w:r w:rsidRPr="009E4E6A">
        <w:rPr>
          <w:rFonts w:ascii="Calibri" w:hAnsi="Calibri"/>
        </w:rPr>
        <w:t>I and II only.</w:t>
      </w:r>
    </w:p>
    <w:p w14:paraId="4027045C" w14:textId="77777777" w:rsidR="00832C52" w:rsidRPr="009E4E6A" w:rsidRDefault="00081921" w:rsidP="009E4E6A">
      <w:pPr>
        <w:pStyle w:val="ListParagraph"/>
        <w:numPr>
          <w:ilvl w:val="0"/>
          <w:numId w:val="8"/>
        </w:numPr>
        <w:spacing w:after="0" w:line="240" w:lineRule="auto"/>
        <w:ind w:left="1080"/>
        <w:rPr>
          <w:rFonts w:ascii="Calibri" w:hAnsi="Calibri"/>
        </w:rPr>
      </w:pPr>
      <w:r w:rsidRPr="009E4E6A">
        <w:rPr>
          <w:rFonts w:ascii="Calibri" w:hAnsi="Calibri"/>
        </w:rPr>
        <w:t>II and III only.</w:t>
      </w:r>
    </w:p>
    <w:p w14:paraId="0F80E30B" w14:textId="16B079DD" w:rsidR="00EC47FC" w:rsidRPr="009E4E6A" w:rsidRDefault="00EC47FC" w:rsidP="009E4E6A">
      <w:pPr>
        <w:spacing w:after="0" w:line="240" w:lineRule="auto"/>
        <w:rPr>
          <w:rFonts w:ascii="Calibri" w:hAnsi="Calibri"/>
          <w:b/>
        </w:rPr>
      </w:pPr>
    </w:p>
    <w:p w14:paraId="5E92CFA5" w14:textId="5D5E1089" w:rsidR="00EC47FC" w:rsidRPr="009E4E6A" w:rsidRDefault="00F841CD" w:rsidP="009E4E6A">
      <w:pPr>
        <w:spacing w:after="0" w:line="240" w:lineRule="auto"/>
        <w:ind w:left="360" w:hanging="360"/>
        <w:rPr>
          <w:rFonts w:ascii="Calibri" w:hAnsi="Calibri"/>
        </w:rPr>
      </w:pPr>
      <w:r w:rsidRPr="009E4E6A">
        <w:rPr>
          <w:rFonts w:ascii="Calibri" w:hAnsi="Calibri"/>
        </w:rPr>
        <w:t>a</w:t>
      </w:r>
      <w:r w:rsidR="00EC47FC" w:rsidRPr="009E4E6A">
        <w:rPr>
          <w:rFonts w:ascii="Calibri" w:hAnsi="Calibri"/>
        </w:rPr>
        <w:t>)</w:t>
      </w:r>
      <w:r w:rsidR="00EC47FC" w:rsidRPr="009E4E6A">
        <w:rPr>
          <w:rFonts w:ascii="Calibri" w:hAnsi="Calibri"/>
        </w:rPr>
        <w:tab/>
        <w:t>Incorrect.</w:t>
      </w:r>
      <w:r w:rsidR="00F26A5B" w:rsidRPr="009E4E6A">
        <w:rPr>
          <w:rFonts w:ascii="Calibri" w:hAnsi="Calibri"/>
        </w:rPr>
        <w:t xml:space="preserve">  In calculating the ACE adjustment, AMTI is increased by the 70%</w:t>
      </w:r>
      <w:r w:rsidR="005E7433" w:rsidRPr="009E4E6A">
        <w:rPr>
          <w:rFonts w:ascii="Calibri" w:hAnsi="Calibri"/>
        </w:rPr>
        <w:t xml:space="preserve"> </w:t>
      </w:r>
      <w:r w:rsidR="00F26A5B" w:rsidRPr="009E4E6A">
        <w:rPr>
          <w:rFonts w:ascii="Calibri" w:hAnsi="Calibri"/>
        </w:rPr>
        <w:t>dividends received deduction, which applies to investments representing ownership of less than 20%; municipal bond interest that is not already included in AMTI; and life insurance proceeds resulting from the death of a key employee.  The 80% dividends received deduction, on an investment representing ownership of 20% or more, is not added.</w:t>
      </w:r>
    </w:p>
    <w:p w14:paraId="4134E50D" w14:textId="7CAD3CEB" w:rsidR="00EC47FC" w:rsidRPr="009E4E6A" w:rsidRDefault="00F841CD" w:rsidP="009E4E6A">
      <w:pPr>
        <w:spacing w:after="0" w:line="240" w:lineRule="auto"/>
        <w:ind w:left="360" w:hanging="360"/>
        <w:rPr>
          <w:rFonts w:ascii="Calibri" w:hAnsi="Calibri"/>
        </w:rPr>
      </w:pPr>
      <w:r w:rsidRPr="009E4E6A">
        <w:rPr>
          <w:rFonts w:ascii="Calibri" w:hAnsi="Calibri"/>
        </w:rPr>
        <w:t>b</w:t>
      </w:r>
      <w:r w:rsidR="00EC47FC" w:rsidRPr="009E4E6A">
        <w:rPr>
          <w:rFonts w:ascii="Calibri" w:hAnsi="Calibri"/>
        </w:rPr>
        <w:t>)</w:t>
      </w:r>
      <w:r w:rsidR="00EC47FC" w:rsidRPr="009E4E6A">
        <w:rPr>
          <w:rFonts w:ascii="Calibri" w:hAnsi="Calibri"/>
        </w:rPr>
        <w:tab/>
        <w:t>Incorrect.</w:t>
      </w:r>
      <w:r w:rsidR="00F26A5B" w:rsidRPr="009E4E6A">
        <w:rPr>
          <w:rFonts w:ascii="Calibri" w:hAnsi="Calibri"/>
        </w:rPr>
        <w:t xml:space="preserve"> In calculating the ACE adjustment, AMTI is increased by the 70%</w:t>
      </w:r>
      <w:r w:rsidR="005E7433" w:rsidRPr="009E4E6A">
        <w:rPr>
          <w:rFonts w:ascii="Calibri" w:hAnsi="Calibri"/>
        </w:rPr>
        <w:t xml:space="preserve"> </w:t>
      </w:r>
      <w:r w:rsidR="00F26A5B" w:rsidRPr="009E4E6A">
        <w:rPr>
          <w:rFonts w:ascii="Calibri" w:hAnsi="Calibri"/>
        </w:rPr>
        <w:t>dividends received deduction, which applies to investments representing ownership of less than 20%; municipal bond interest that is not already included in AMTI; and life insurance proceeds resulting from the death of a key employee.  The 80% dividends received deduction, on an investment representing ownership of 20% or more, is not added.</w:t>
      </w:r>
    </w:p>
    <w:p w14:paraId="7F293A6E" w14:textId="1CDC5381" w:rsidR="00DF0CAB" w:rsidRPr="009E4E6A" w:rsidRDefault="00F841CD" w:rsidP="009E4E6A">
      <w:pPr>
        <w:spacing w:after="0" w:line="240" w:lineRule="auto"/>
        <w:ind w:left="360" w:hanging="360"/>
        <w:rPr>
          <w:rFonts w:ascii="Calibri" w:hAnsi="Calibri"/>
        </w:rPr>
      </w:pPr>
      <w:r w:rsidRPr="009E4E6A">
        <w:rPr>
          <w:rFonts w:ascii="Calibri" w:hAnsi="Calibri"/>
        </w:rPr>
        <w:t>c</w:t>
      </w:r>
      <w:r w:rsidR="00EC47FC" w:rsidRPr="009E4E6A">
        <w:rPr>
          <w:rFonts w:ascii="Calibri" w:hAnsi="Calibri"/>
        </w:rPr>
        <w:t>)</w:t>
      </w:r>
      <w:r w:rsidR="00EC47FC" w:rsidRPr="009E4E6A">
        <w:rPr>
          <w:rFonts w:ascii="Calibri" w:hAnsi="Calibri"/>
        </w:rPr>
        <w:tab/>
        <w:t>Incorrect.</w:t>
      </w:r>
      <w:r w:rsidR="00F26A5B" w:rsidRPr="009E4E6A">
        <w:rPr>
          <w:rFonts w:ascii="Calibri" w:hAnsi="Calibri"/>
        </w:rPr>
        <w:t xml:space="preserve"> In calculating the ACE adjustment, AMTI is increased by the 70%</w:t>
      </w:r>
      <w:r w:rsidR="005E7433" w:rsidRPr="009E4E6A">
        <w:rPr>
          <w:rFonts w:ascii="Calibri" w:hAnsi="Calibri"/>
        </w:rPr>
        <w:t xml:space="preserve"> </w:t>
      </w:r>
      <w:r w:rsidR="00F26A5B" w:rsidRPr="009E4E6A">
        <w:rPr>
          <w:rFonts w:ascii="Calibri" w:hAnsi="Calibri"/>
        </w:rPr>
        <w:t>dividends received deduction, which applies to investments representing ownership of less than 20%; municipal bond interest that is not already included in AMTI; and life insurance proceeds resulting from the death of a key employee.  The 80% dividends received deduction, on an investment representing ownership of 20% or more, is not added.</w:t>
      </w:r>
    </w:p>
    <w:p w14:paraId="2CDA0AF8" w14:textId="43E39B11" w:rsidR="002E1683" w:rsidRPr="009E4E6A" w:rsidRDefault="002E1683" w:rsidP="009E4E6A">
      <w:pPr>
        <w:spacing w:after="0" w:line="240" w:lineRule="auto"/>
        <w:ind w:left="360" w:hanging="360"/>
        <w:rPr>
          <w:rFonts w:ascii="Calibri" w:hAnsi="Calibri"/>
        </w:rPr>
      </w:pPr>
      <w:r w:rsidRPr="009E4E6A">
        <w:rPr>
          <w:rFonts w:ascii="Calibri" w:hAnsi="Calibri"/>
          <w:b/>
        </w:rPr>
        <w:t>d)</w:t>
      </w:r>
      <w:r w:rsidRPr="009E4E6A">
        <w:rPr>
          <w:rFonts w:ascii="Calibri" w:hAnsi="Calibri"/>
          <w:b/>
        </w:rPr>
        <w:tab/>
        <w:t>Correct!</w:t>
      </w:r>
      <w:r w:rsidRPr="009E4E6A">
        <w:rPr>
          <w:rFonts w:ascii="Calibri" w:hAnsi="Calibri"/>
        </w:rPr>
        <w:t xml:space="preserve"> In calculating the ACE adjustment, AMTI is increased by the 70% dividends received deduction, which applies to investments representing ownership of less than 20%; municipal bond interest that is not already included in AMTI; and life insurance proceeds resulting from the death of a key employee.  The 80% dividends received deduction, on an investment representing ownership of 20% or more, is not added.</w:t>
      </w:r>
    </w:p>
    <w:sectPr w:rsidR="002E1683" w:rsidRPr="009E4E6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B989D" w14:textId="77777777" w:rsidR="003F5D88" w:rsidRDefault="003F5D88" w:rsidP="00476FC4">
      <w:pPr>
        <w:spacing w:after="0" w:line="240" w:lineRule="auto"/>
      </w:pPr>
      <w:r>
        <w:separator/>
      </w:r>
    </w:p>
  </w:endnote>
  <w:endnote w:type="continuationSeparator" w:id="0">
    <w:p w14:paraId="68A7DD42" w14:textId="77777777" w:rsidR="003F5D88" w:rsidRDefault="003F5D88" w:rsidP="00476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F3DC" w14:textId="3A05A332" w:rsidR="00102FB8" w:rsidRDefault="00102FB8">
    <w:pPr>
      <w:pStyle w:val="Footer"/>
    </w:pPr>
    <w:r w:rsidRPr="00CB0BDB">
      <w:rPr>
        <w:rFonts w:cs="Tahoma"/>
        <w:sz w:val="14"/>
        <w:szCs w:val="14"/>
      </w:rPr>
      <w:t xml:space="preserve">© </w:t>
    </w:r>
    <w:r w:rsidR="00ED50E4">
      <w:rPr>
        <w:rFonts w:cs="Tahoma"/>
        <w:sz w:val="14"/>
        <w:szCs w:val="14"/>
      </w:rPr>
      <w:t>2017</w:t>
    </w:r>
    <w:r w:rsidR="00ED50E4" w:rsidRPr="00CB0BDB">
      <w:rPr>
        <w:rFonts w:cs="Tahoma"/>
        <w:sz w:val="14"/>
        <w:szCs w:val="14"/>
      </w:rPr>
      <w:t xml:space="preserve"> </w:t>
    </w:r>
    <w:r w:rsidRPr="00CB0BDB">
      <w:rPr>
        <w:rFonts w:cs="Tahoma"/>
        <w:sz w:val="14"/>
        <w:szCs w:val="14"/>
      </w:rPr>
      <w:t>Cengage Learning. All Rights Reserved. May not be copied, scanned, or duplicated, in whole or in part, except for use as permitted in a license distributed with a certain product or service or otherwise on a password-protected website for classroom use</w:t>
    </w:r>
    <w:r w:rsidRPr="00435571">
      <w:rPr>
        <w:rFonts w:cs="Tahoma"/>
        <w:b/>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0916F" w14:textId="77777777" w:rsidR="003F5D88" w:rsidRDefault="003F5D88" w:rsidP="00476FC4">
      <w:pPr>
        <w:spacing w:after="0" w:line="240" w:lineRule="auto"/>
      </w:pPr>
      <w:r>
        <w:separator/>
      </w:r>
    </w:p>
  </w:footnote>
  <w:footnote w:type="continuationSeparator" w:id="0">
    <w:p w14:paraId="61A48272" w14:textId="77777777" w:rsidR="003F5D88" w:rsidRDefault="003F5D88" w:rsidP="00476F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75AEE" w14:textId="1A08513A" w:rsidR="003C5442" w:rsidRPr="00476FC4" w:rsidRDefault="00102FB8" w:rsidP="00102FB8">
    <w:pPr>
      <w:pStyle w:val="Header"/>
      <w:rPr>
        <w:b/>
      </w:rPr>
    </w:pPr>
    <w:r>
      <w:t xml:space="preserve">SWFT </w:t>
    </w:r>
    <w:r w:rsidRPr="00E733BF">
      <w:rPr>
        <w:i/>
      </w:rPr>
      <w:t>Corporations, Partnerships, Estates and Trusts</w:t>
    </w:r>
    <w:r w:rsidRPr="007E47E0">
      <w:rPr>
        <w:i/>
      </w:rPr>
      <w:t xml:space="preserve"> </w:t>
    </w:r>
    <w:r w:rsidR="002A40B7">
      <w:rPr>
        <w:i/>
      </w:rPr>
      <w:t>2018</w:t>
    </w:r>
    <w:r w:rsidR="00ED50E4">
      <w:t xml:space="preserve"> </w:t>
    </w:r>
    <w:r>
      <w:t>– Roger CPA Review Question Answers and Feedback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6B94"/>
    <w:multiLevelType w:val="hybridMultilevel"/>
    <w:tmpl w:val="3F5E6F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4708C"/>
    <w:multiLevelType w:val="hybridMultilevel"/>
    <w:tmpl w:val="5AC80D76"/>
    <w:lvl w:ilvl="0" w:tplc="6472F4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01483"/>
    <w:multiLevelType w:val="hybridMultilevel"/>
    <w:tmpl w:val="4EC2C8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DB3908"/>
    <w:multiLevelType w:val="hybridMultilevel"/>
    <w:tmpl w:val="10468D98"/>
    <w:lvl w:ilvl="0" w:tplc="4A224B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2128F5"/>
    <w:multiLevelType w:val="hybridMultilevel"/>
    <w:tmpl w:val="0AC0AF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270C56"/>
    <w:multiLevelType w:val="hybridMultilevel"/>
    <w:tmpl w:val="B7D60E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B91FA5"/>
    <w:multiLevelType w:val="hybridMultilevel"/>
    <w:tmpl w:val="68285472"/>
    <w:lvl w:ilvl="0" w:tplc="A05429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CD2082"/>
    <w:multiLevelType w:val="hybridMultilevel"/>
    <w:tmpl w:val="C12899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7F5878"/>
    <w:multiLevelType w:val="hybridMultilevel"/>
    <w:tmpl w:val="9B86D5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907B73"/>
    <w:multiLevelType w:val="hybridMultilevel"/>
    <w:tmpl w:val="7E805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525C18"/>
    <w:multiLevelType w:val="hybridMultilevel"/>
    <w:tmpl w:val="68285472"/>
    <w:lvl w:ilvl="0" w:tplc="A05429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0"/>
  </w:num>
  <w:num w:numId="4">
    <w:abstractNumId w:val="1"/>
  </w:num>
  <w:num w:numId="5">
    <w:abstractNumId w:val="2"/>
  </w:num>
  <w:num w:numId="6">
    <w:abstractNumId w:val="7"/>
  </w:num>
  <w:num w:numId="7">
    <w:abstractNumId w:val="4"/>
  </w:num>
  <w:num w:numId="8">
    <w:abstractNumId w:val="8"/>
  </w:num>
  <w:num w:numId="9">
    <w:abstractNumId w:val="3"/>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B2D"/>
    <w:rsid w:val="00000D79"/>
    <w:rsid w:val="00001663"/>
    <w:rsid w:val="00005257"/>
    <w:rsid w:val="00006487"/>
    <w:rsid w:val="00010680"/>
    <w:rsid w:val="00011CD6"/>
    <w:rsid w:val="00012BAB"/>
    <w:rsid w:val="00023D09"/>
    <w:rsid w:val="0002422F"/>
    <w:rsid w:val="00027908"/>
    <w:rsid w:val="0003053B"/>
    <w:rsid w:val="00034DE5"/>
    <w:rsid w:val="000379AB"/>
    <w:rsid w:val="000400FE"/>
    <w:rsid w:val="00040BC2"/>
    <w:rsid w:val="000443B7"/>
    <w:rsid w:val="00054568"/>
    <w:rsid w:val="00060F0E"/>
    <w:rsid w:val="000634BC"/>
    <w:rsid w:val="000644E5"/>
    <w:rsid w:val="00067222"/>
    <w:rsid w:val="00070567"/>
    <w:rsid w:val="0007162A"/>
    <w:rsid w:val="000720B8"/>
    <w:rsid w:val="00081921"/>
    <w:rsid w:val="0008255F"/>
    <w:rsid w:val="00084744"/>
    <w:rsid w:val="00085975"/>
    <w:rsid w:val="00090757"/>
    <w:rsid w:val="000949BA"/>
    <w:rsid w:val="000968C1"/>
    <w:rsid w:val="00096AE0"/>
    <w:rsid w:val="000A3DEE"/>
    <w:rsid w:val="000A6AF1"/>
    <w:rsid w:val="000B3D4E"/>
    <w:rsid w:val="000C1259"/>
    <w:rsid w:val="000C125E"/>
    <w:rsid w:val="000C13F5"/>
    <w:rsid w:val="000D3201"/>
    <w:rsid w:val="000D487C"/>
    <w:rsid w:val="000D7AE7"/>
    <w:rsid w:val="000E0CFD"/>
    <w:rsid w:val="000E1921"/>
    <w:rsid w:val="000E214F"/>
    <w:rsid w:val="000E71B3"/>
    <w:rsid w:val="000F0ADA"/>
    <w:rsid w:val="000F4DD0"/>
    <w:rsid w:val="001004FC"/>
    <w:rsid w:val="00102FB8"/>
    <w:rsid w:val="00105B97"/>
    <w:rsid w:val="00110DA2"/>
    <w:rsid w:val="00113334"/>
    <w:rsid w:val="00114A3C"/>
    <w:rsid w:val="00115739"/>
    <w:rsid w:val="0011692D"/>
    <w:rsid w:val="001273FA"/>
    <w:rsid w:val="00127B95"/>
    <w:rsid w:val="00134577"/>
    <w:rsid w:val="0013538B"/>
    <w:rsid w:val="00136DFD"/>
    <w:rsid w:val="00137EC3"/>
    <w:rsid w:val="001424A2"/>
    <w:rsid w:val="00142E01"/>
    <w:rsid w:val="0014344C"/>
    <w:rsid w:val="001439D6"/>
    <w:rsid w:val="00144355"/>
    <w:rsid w:val="00147220"/>
    <w:rsid w:val="00150096"/>
    <w:rsid w:val="001516A3"/>
    <w:rsid w:val="00153A18"/>
    <w:rsid w:val="00154589"/>
    <w:rsid w:val="001576C0"/>
    <w:rsid w:val="001607DF"/>
    <w:rsid w:val="00164A71"/>
    <w:rsid w:val="001735BB"/>
    <w:rsid w:val="00176CEC"/>
    <w:rsid w:val="0019220B"/>
    <w:rsid w:val="0019301D"/>
    <w:rsid w:val="00193FFD"/>
    <w:rsid w:val="00194C0A"/>
    <w:rsid w:val="00197A22"/>
    <w:rsid w:val="001A0999"/>
    <w:rsid w:val="001A1DDA"/>
    <w:rsid w:val="001A4F95"/>
    <w:rsid w:val="001A5A7A"/>
    <w:rsid w:val="001B5EC0"/>
    <w:rsid w:val="001B6870"/>
    <w:rsid w:val="001B7339"/>
    <w:rsid w:val="001C2908"/>
    <w:rsid w:val="001C7E40"/>
    <w:rsid w:val="001D27C1"/>
    <w:rsid w:val="001D2E95"/>
    <w:rsid w:val="001D3796"/>
    <w:rsid w:val="001E0844"/>
    <w:rsid w:val="001E0B5B"/>
    <w:rsid w:val="001E5240"/>
    <w:rsid w:val="001E5475"/>
    <w:rsid w:val="001E6B69"/>
    <w:rsid w:val="001F0C74"/>
    <w:rsid w:val="001F17BC"/>
    <w:rsid w:val="001F65B6"/>
    <w:rsid w:val="0020035B"/>
    <w:rsid w:val="00204668"/>
    <w:rsid w:val="002101C9"/>
    <w:rsid w:val="00212A76"/>
    <w:rsid w:val="00213C3D"/>
    <w:rsid w:val="00214F17"/>
    <w:rsid w:val="0021540F"/>
    <w:rsid w:val="00230164"/>
    <w:rsid w:val="00230E68"/>
    <w:rsid w:val="00230EDB"/>
    <w:rsid w:val="002328D9"/>
    <w:rsid w:val="00233DBC"/>
    <w:rsid w:val="00234774"/>
    <w:rsid w:val="0024004D"/>
    <w:rsid w:val="00241C8A"/>
    <w:rsid w:val="00243226"/>
    <w:rsid w:val="00244E86"/>
    <w:rsid w:val="002459FE"/>
    <w:rsid w:val="002523CD"/>
    <w:rsid w:val="0025485C"/>
    <w:rsid w:val="0025622D"/>
    <w:rsid w:val="00256E5E"/>
    <w:rsid w:val="002670E8"/>
    <w:rsid w:val="00272B1B"/>
    <w:rsid w:val="0027430F"/>
    <w:rsid w:val="00275A41"/>
    <w:rsid w:val="00276DB7"/>
    <w:rsid w:val="00284343"/>
    <w:rsid w:val="00284E14"/>
    <w:rsid w:val="00285674"/>
    <w:rsid w:val="0029074A"/>
    <w:rsid w:val="00294402"/>
    <w:rsid w:val="002A40B7"/>
    <w:rsid w:val="002A5255"/>
    <w:rsid w:val="002A5A94"/>
    <w:rsid w:val="002B35F8"/>
    <w:rsid w:val="002B3661"/>
    <w:rsid w:val="002C22FA"/>
    <w:rsid w:val="002C234C"/>
    <w:rsid w:val="002C7E5B"/>
    <w:rsid w:val="002D4391"/>
    <w:rsid w:val="002D600A"/>
    <w:rsid w:val="002E0E76"/>
    <w:rsid w:val="002E1683"/>
    <w:rsid w:val="002E353C"/>
    <w:rsid w:val="002E4A97"/>
    <w:rsid w:val="002E75EC"/>
    <w:rsid w:val="002F0C3A"/>
    <w:rsid w:val="002F361F"/>
    <w:rsid w:val="002F46DD"/>
    <w:rsid w:val="002F708E"/>
    <w:rsid w:val="00303FA5"/>
    <w:rsid w:val="003053FC"/>
    <w:rsid w:val="003133EE"/>
    <w:rsid w:val="00315678"/>
    <w:rsid w:val="0032143A"/>
    <w:rsid w:val="003217C6"/>
    <w:rsid w:val="00322AF3"/>
    <w:rsid w:val="003248D1"/>
    <w:rsid w:val="00325A64"/>
    <w:rsid w:val="00325D88"/>
    <w:rsid w:val="00326E9C"/>
    <w:rsid w:val="00333BA0"/>
    <w:rsid w:val="00335113"/>
    <w:rsid w:val="0034166A"/>
    <w:rsid w:val="003437D7"/>
    <w:rsid w:val="003505B2"/>
    <w:rsid w:val="003505BE"/>
    <w:rsid w:val="003517D6"/>
    <w:rsid w:val="00363D20"/>
    <w:rsid w:val="003657D0"/>
    <w:rsid w:val="00365A9E"/>
    <w:rsid w:val="00370081"/>
    <w:rsid w:val="00370963"/>
    <w:rsid w:val="00370D5C"/>
    <w:rsid w:val="00374F4D"/>
    <w:rsid w:val="003765A0"/>
    <w:rsid w:val="00380E61"/>
    <w:rsid w:val="00381EBA"/>
    <w:rsid w:val="0038229B"/>
    <w:rsid w:val="00384CB5"/>
    <w:rsid w:val="00393D79"/>
    <w:rsid w:val="00396F5E"/>
    <w:rsid w:val="00396FD1"/>
    <w:rsid w:val="003A2912"/>
    <w:rsid w:val="003A50D5"/>
    <w:rsid w:val="003A7C09"/>
    <w:rsid w:val="003B03EA"/>
    <w:rsid w:val="003B2824"/>
    <w:rsid w:val="003B7339"/>
    <w:rsid w:val="003C2639"/>
    <w:rsid w:val="003C5442"/>
    <w:rsid w:val="003C5FF6"/>
    <w:rsid w:val="003C6744"/>
    <w:rsid w:val="003C7721"/>
    <w:rsid w:val="003C7C36"/>
    <w:rsid w:val="003D031B"/>
    <w:rsid w:val="003D1DA3"/>
    <w:rsid w:val="003D2B48"/>
    <w:rsid w:val="003E731C"/>
    <w:rsid w:val="003F480A"/>
    <w:rsid w:val="003F5D88"/>
    <w:rsid w:val="00403CCA"/>
    <w:rsid w:val="00404144"/>
    <w:rsid w:val="004061F8"/>
    <w:rsid w:val="004068FB"/>
    <w:rsid w:val="00406BCC"/>
    <w:rsid w:val="0041092C"/>
    <w:rsid w:val="00414F8D"/>
    <w:rsid w:val="00415B96"/>
    <w:rsid w:val="004241FF"/>
    <w:rsid w:val="00424299"/>
    <w:rsid w:val="00425528"/>
    <w:rsid w:val="0043136D"/>
    <w:rsid w:val="00437DA7"/>
    <w:rsid w:val="00444FE7"/>
    <w:rsid w:val="0044608B"/>
    <w:rsid w:val="004460B2"/>
    <w:rsid w:val="00451975"/>
    <w:rsid w:val="00452AF6"/>
    <w:rsid w:val="004534ED"/>
    <w:rsid w:val="004539C6"/>
    <w:rsid w:val="00456DAB"/>
    <w:rsid w:val="00462160"/>
    <w:rsid w:val="00472F40"/>
    <w:rsid w:val="00473716"/>
    <w:rsid w:val="00476FC4"/>
    <w:rsid w:val="00490497"/>
    <w:rsid w:val="00493D8C"/>
    <w:rsid w:val="004A0263"/>
    <w:rsid w:val="004B17A2"/>
    <w:rsid w:val="004B3B6C"/>
    <w:rsid w:val="004B5442"/>
    <w:rsid w:val="004C21BA"/>
    <w:rsid w:val="004C61C8"/>
    <w:rsid w:val="004D3F37"/>
    <w:rsid w:val="004D687A"/>
    <w:rsid w:val="004D7D38"/>
    <w:rsid w:val="004E7F5A"/>
    <w:rsid w:val="004F262C"/>
    <w:rsid w:val="005114B3"/>
    <w:rsid w:val="0051357E"/>
    <w:rsid w:val="00523F16"/>
    <w:rsid w:val="00523F2F"/>
    <w:rsid w:val="00524493"/>
    <w:rsid w:val="00524FDD"/>
    <w:rsid w:val="00526C2B"/>
    <w:rsid w:val="0052757A"/>
    <w:rsid w:val="00533AFB"/>
    <w:rsid w:val="00536062"/>
    <w:rsid w:val="00543371"/>
    <w:rsid w:val="00543725"/>
    <w:rsid w:val="005454FA"/>
    <w:rsid w:val="0054591C"/>
    <w:rsid w:val="00545C0E"/>
    <w:rsid w:val="00547133"/>
    <w:rsid w:val="00551000"/>
    <w:rsid w:val="00552532"/>
    <w:rsid w:val="00553263"/>
    <w:rsid w:val="005572DC"/>
    <w:rsid w:val="00560FF2"/>
    <w:rsid w:val="00564F83"/>
    <w:rsid w:val="00565602"/>
    <w:rsid w:val="0056707B"/>
    <w:rsid w:val="005717F0"/>
    <w:rsid w:val="00574F36"/>
    <w:rsid w:val="00585020"/>
    <w:rsid w:val="00586A15"/>
    <w:rsid w:val="00587E76"/>
    <w:rsid w:val="005944D0"/>
    <w:rsid w:val="005A0E83"/>
    <w:rsid w:val="005A0F5D"/>
    <w:rsid w:val="005A1029"/>
    <w:rsid w:val="005A1703"/>
    <w:rsid w:val="005A3034"/>
    <w:rsid w:val="005A4B2B"/>
    <w:rsid w:val="005A540B"/>
    <w:rsid w:val="005B711C"/>
    <w:rsid w:val="005C7CA1"/>
    <w:rsid w:val="005D4161"/>
    <w:rsid w:val="005E0622"/>
    <w:rsid w:val="005E0921"/>
    <w:rsid w:val="005E1B1B"/>
    <w:rsid w:val="005E7433"/>
    <w:rsid w:val="005F3329"/>
    <w:rsid w:val="005F4E29"/>
    <w:rsid w:val="005F5395"/>
    <w:rsid w:val="00604683"/>
    <w:rsid w:val="00607138"/>
    <w:rsid w:val="00612B86"/>
    <w:rsid w:val="00614B2D"/>
    <w:rsid w:val="0061529A"/>
    <w:rsid w:val="0061784C"/>
    <w:rsid w:val="0062170C"/>
    <w:rsid w:val="006243D9"/>
    <w:rsid w:val="006255E8"/>
    <w:rsid w:val="00625E00"/>
    <w:rsid w:val="00626654"/>
    <w:rsid w:val="0062761F"/>
    <w:rsid w:val="0064357F"/>
    <w:rsid w:val="00645378"/>
    <w:rsid w:val="00645542"/>
    <w:rsid w:val="00646BD6"/>
    <w:rsid w:val="00646FA3"/>
    <w:rsid w:val="0065192E"/>
    <w:rsid w:val="00661777"/>
    <w:rsid w:val="00663343"/>
    <w:rsid w:val="00665350"/>
    <w:rsid w:val="00665765"/>
    <w:rsid w:val="00667263"/>
    <w:rsid w:val="00667E28"/>
    <w:rsid w:val="00671196"/>
    <w:rsid w:val="00672656"/>
    <w:rsid w:val="00674B66"/>
    <w:rsid w:val="006755BE"/>
    <w:rsid w:val="006769E6"/>
    <w:rsid w:val="006805AD"/>
    <w:rsid w:val="00683343"/>
    <w:rsid w:val="0068656D"/>
    <w:rsid w:val="00687C62"/>
    <w:rsid w:val="00693DA9"/>
    <w:rsid w:val="00694356"/>
    <w:rsid w:val="0069702B"/>
    <w:rsid w:val="00697A84"/>
    <w:rsid w:val="006A10B4"/>
    <w:rsid w:val="006A133F"/>
    <w:rsid w:val="006A22A2"/>
    <w:rsid w:val="006A378C"/>
    <w:rsid w:val="006A72E7"/>
    <w:rsid w:val="006B16A3"/>
    <w:rsid w:val="006B1C8F"/>
    <w:rsid w:val="006B514F"/>
    <w:rsid w:val="006B6008"/>
    <w:rsid w:val="006C57D7"/>
    <w:rsid w:val="006C757B"/>
    <w:rsid w:val="006C7EA5"/>
    <w:rsid w:val="006D10E0"/>
    <w:rsid w:val="006D142B"/>
    <w:rsid w:val="006D20CE"/>
    <w:rsid w:val="006D259D"/>
    <w:rsid w:val="006E0F6D"/>
    <w:rsid w:val="006E40AA"/>
    <w:rsid w:val="006E59C9"/>
    <w:rsid w:val="006E6C19"/>
    <w:rsid w:val="006F20A9"/>
    <w:rsid w:val="006F36D8"/>
    <w:rsid w:val="006F3FD1"/>
    <w:rsid w:val="00700B09"/>
    <w:rsid w:val="00700C5D"/>
    <w:rsid w:val="007010F3"/>
    <w:rsid w:val="007013F8"/>
    <w:rsid w:val="00704DB7"/>
    <w:rsid w:val="00707D5A"/>
    <w:rsid w:val="007205DE"/>
    <w:rsid w:val="0072449D"/>
    <w:rsid w:val="00724F4B"/>
    <w:rsid w:val="00731F35"/>
    <w:rsid w:val="00732B95"/>
    <w:rsid w:val="00733608"/>
    <w:rsid w:val="007341DB"/>
    <w:rsid w:val="00734CA0"/>
    <w:rsid w:val="0073644B"/>
    <w:rsid w:val="0074118B"/>
    <w:rsid w:val="00741BFB"/>
    <w:rsid w:val="00746BE1"/>
    <w:rsid w:val="00747F48"/>
    <w:rsid w:val="00750A45"/>
    <w:rsid w:val="00755C38"/>
    <w:rsid w:val="00774977"/>
    <w:rsid w:val="00774D5D"/>
    <w:rsid w:val="00775948"/>
    <w:rsid w:val="00785EB5"/>
    <w:rsid w:val="00792C32"/>
    <w:rsid w:val="007A0147"/>
    <w:rsid w:val="007A4140"/>
    <w:rsid w:val="007A509F"/>
    <w:rsid w:val="007A7439"/>
    <w:rsid w:val="007B0919"/>
    <w:rsid w:val="007B2BF1"/>
    <w:rsid w:val="007B391D"/>
    <w:rsid w:val="007B3930"/>
    <w:rsid w:val="007C17EF"/>
    <w:rsid w:val="007C23CC"/>
    <w:rsid w:val="007C2967"/>
    <w:rsid w:val="007C49D3"/>
    <w:rsid w:val="007D0106"/>
    <w:rsid w:val="007D558A"/>
    <w:rsid w:val="007E18AF"/>
    <w:rsid w:val="007F0130"/>
    <w:rsid w:val="007F51BB"/>
    <w:rsid w:val="007F5B97"/>
    <w:rsid w:val="007F5DBF"/>
    <w:rsid w:val="008008A6"/>
    <w:rsid w:val="00800C22"/>
    <w:rsid w:val="00801DC1"/>
    <w:rsid w:val="00802107"/>
    <w:rsid w:val="008024BD"/>
    <w:rsid w:val="00803FF8"/>
    <w:rsid w:val="00804E64"/>
    <w:rsid w:val="0080706D"/>
    <w:rsid w:val="00810BB8"/>
    <w:rsid w:val="00811663"/>
    <w:rsid w:val="00812A22"/>
    <w:rsid w:val="00814320"/>
    <w:rsid w:val="00814A02"/>
    <w:rsid w:val="00820FB5"/>
    <w:rsid w:val="00821ABE"/>
    <w:rsid w:val="00822607"/>
    <w:rsid w:val="00824D62"/>
    <w:rsid w:val="008306B2"/>
    <w:rsid w:val="00832C52"/>
    <w:rsid w:val="008344FD"/>
    <w:rsid w:val="0083737C"/>
    <w:rsid w:val="00837ECD"/>
    <w:rsid w:val="008417C9"/>
    <w:rsid w:val="00843140"/>
    <w:rsid w:val="00845112"/>
    <w:rsid w:val="00846136"/>
    <w:rsid w:val="008474FB"/>
    <w:rsid w:val="00850D10"/>
    <w:rsid w:val="00851052"/>
    <w:rsid w:val="00852FD1"/>
    <w:rsid w:val="00853E59"/>
    <w:rsid w:val="008547D3"/>
    <w:rsid w:val="00855D6A"/>
    <w:rsid w:val="008576A0"/>
    <w:rsid w:val="008607FC"/>
    <w:rsid w:val="008701DD"/>
    <w:rsid w:val="00872ACE"/>
    <w:rsid w:val="00873599"/>
    <w:rsid w:val="008771EC"/>
    <w:rsid w:val="00877CB1"/>
    <w:rsid w:val="0088110D"/>
    <w:rsid w:val="00881B8D"/>
    <w:rsid w:val="008832A3"/>
    <w:rsid w:val="00884590"/>
    <w:rsid w:val="008845CF"/>
    <w:rsid w:val="00886288"/>
    <w:rsid w:val="00890309"/>
    <w:rsid w:val="00891A74"/>
    <w:rsid w:val="0089384B"/>
    <w:rsid w:val="00895D0F"/>
    <w:rsid w:val="008A040E"/>
    <w:rsid w:val="008A1A20"/>
    <w:rsid w:val="008A20D2"/>
    <w:rsid w:val="008A35CA"/>
    <w:rsid w:val="008A3702"/>
    <w:rsid w:val="008A42E8"/>
    <w:rsid w:val="008A653B"/>
    <w:rsid w:val="008B5E63"/>
    <w:rsid w:val="008B6374"/>
    <w:rsid w:val="008B6935"/>
    <w:rsid w:val="008C2EE1"/>
    <w:rsid w:val="008C3E2F"/>
    <w:rsid w:val="008C6305"/>
    <w:rsid w:val="008C66D2"/>
    <w:rsid w:val="008D5040"/>
    <w:rsid w:val="008D765C"/>
    <w:rsid w:val="008E383F"/>
    <w:rsid w:val="008F2424"/>
    <w:rsid w:val="008F62A9"/>
    <w:rsid w:val="008F7BD5"/>
    <w:rsid w:val="009034DC"/>
    <w:rsid w:val="00913D0F"/>
    <w:rsid w:val="00916C0C"/>
    <w:rsid w:val="00917058"/>
    <w:rsid w:val="009205B9"/>
    <w:rsid w:val="00921175"/>
    <w:rsid w:val="009277B7"/>
    <w:rsid w:val="00927D20"/>
    <w:rsid w:val="00932C9D"/>
    <w:rsid w:val="0093519E"/>
    <w:rsid w:val="009421F9"/>
    <w:rsid w:val="00946F9C"/>
    <w:rsid w:val="00947879"/>
    <w:rsid w:val="009521A3"/>
    <w:rsid w:val="009539C0"/>
    <w:rsid w:val="00963F1C"/>
    <w:rsid w:val="00972111"/>
    <w:rsid w:val="0097237B"/>
    <w:rsid w:val="00973373"/>
    <w:rsid w:val="009776EF"/>
    <w:rsid w:val="00981C79"/>
    <w:rsid w:val="00981C93"/>
    <w:rsid w:val="00983CC7"/>
    <w:rsid w:val="00983E0E"/>
    <w:rsid w:val="0099053B"/>
    <w:rsid w:val="00992A07"/>
    <w:rsid w:val="009936EB"/>
    <w:rsid w:val="00997ED4"/>
    <w:rsid w:val="009A4444"/>
    <w:rsid w:val="009A6110"/>
    <w:rsid w:val="009B0371"/>
    <w:rsid w:val="009B2627"/>
    <w:rsid w:val="009B51D1"/>
    <w:rsid w:val="009B6755"/>
    <w:rsid w:val="009B7691"/>
    <w:rsid w:val="009C11BA"/>
    <w:rsid w:val="009D061B"/>
    <w:rsid w:val="009D07A7"/>
    <w:rsid w:val="009D4101"/>
    <w:rsid w:val="009E1F81"/>
    <w:rsid w:val="009E4A7C"/>
    <w:rsid w:val="009E4AFF"/>
    <w:rsid w:val="009E4CE4"/>
    <w:rsid w:val="009E4E6A"/>
    <w:rsid w:val="009E7723"/>
    <w:rsid w:val="009F5648"/>
    <w:rsid w:val="00A02AB1"/>
    <w:rsid w:val="00A04A80"/>
    <w:rsid w:val="00A04AE1"/>
    <w:rsid w:val="00A07EB4"/>
    <w:rsid w:val="00A12616"/>
    <w:rsid w:val="00A12622"/>
    <w:rsid w:val="00A148BD"/>
    <w:rsid w:val="00A2368B"/>
    <w:rsid w:val="00A27538"/>
    <w:rsid w:val="00A44167"/>
    <w:rsid w:val="00A46527"/>
    <w:rsid w:val="00A47771"/>
    <w:rsid w:val="00A51384"/>
    <w:rsid w:val="00A517EC"/>
    <w:rsid w:val="00A538A7"/>
    <w:rsid w:val="00A53D85"/>
    <w:rsid w:val="00A55B0B"/>
    <w:rsid w:val="00A6208B"/>
    <w:rsid w:val="00A620B7"/>
    <w:rsid w:val="00A649DF"/>
    <w:rsid w:val="00A67438"/>
    <w:rsid w:val="00A716E3"/>
    <w:rsid w:val="00A717EB"/>
    <w:rsid w:val="00A727E8"/>
    <w:rsid w:val="00A73E23"/>
    <w:rsid w:val="00A74449"/>
    <w:rsid w:val="00A80F0D"/>
    <w:rsid w:val="00A84C7A"/>
    <w:rsid w:val="00A91B2C"/>
    <w:rsid w:val="00A91E03"/>
    <w:rsid w:val="00A92AC3"/>
    <w:rsid w:val="00A94F06"/>
    <w:rsid w:val="00A95263"/>
    <w:rsid w:val="00A97C79"/>
    <w:rsid w:val="00AA0298"/>
    <w:rsid w:val="00AA1403"/>
    <w:rsid w:val="00AA438D"/>
    <w:rsid w:val="00AB077F"/>
    <w:rsid w:val="00AB3565"/>
    <w:rsid w:val="00AB64B3"/>
    <w:rsid w:val="00AB716C"/>
    <w:rsid w:val="00AB7848"/>
    <w:rsid w:val="00AB7886"/>
    <w:rsid w:val="00AC41E1"/>
    <w:rsid w:val="00AC5EBA"/>
    <w:rsid w:val="00AC75AB"/>
    <w:rsid w:val="00AC771C"/>
    <w:rsid w:val="00AD0541"/>
    <w:rsid w:val="00AD2BC1"/>
    <w:rsid w:val="00AD4EC0"/>
    <w:rsid w:val="00AD56EF"/>
    <w:rsid w:val="00AE1D82"/>
    <w:rsid w:val="00AE78B8"/>
    <w:rsid w:val="00AF0EB1"/>
    <w:rsid w:val="00AF2195"/>
    <w:rsid w:val="00AF423D"/>
    <w:rsid w:val="00AF7689"/>
    <w:rsid w:val="00B00D55"/>
    <w:rsid w:val="00B01312"/>
    <w:rsid w:val="00B0239C"/>
    <w:rsid w:val="00B02D7D"/>
    <w:rsid w:val="00B05469"/>
    <w:rsid w:val="00B06EE0"/>
    <w:rsid w:val="00B078DD"/>
    <w:rsid w:val="00B10F22"/>
    <w:rsid w:val="00B1190E"/>
    <w:rsid w:val="00B236AB"/>
    <w:rsid w:val="00B24AC7"/>
    <w:rsid w:val="00B30F46"/>
    <w:rsid w:val="00B34C52"/>
    <w:rsid w:val="00B411E4"/>
    <w:rsid w:val="00B435E7"/>
    <w:rsid w:val="00B5068F"/>
    <w:rsid w:val="00B50DDF"/>
    <w:rsid w:val="00B548B5"/>
    <w:rsid w:val="00B576A7"/>
    <w:rsid w:val="00B6017E"/>
    <w:rsid w:val="00B70D98"/>
    <w:rsid w:val="00B83FA5"/>
    <w:rsid w:val="00B868BB"/>
    <w:rsid w:val="00B910F9"/>
    <w:rsid w:val="00B91209"/>
    <w:rsid w:val="00B94C34"/>
    <w:rsid w:val="00B9745C"/>
    <w:rsid w:val="00B97A73"/>
    <w:rsid w:val="00BA1460"/>
    <w:rsid w:val="00BA3579"/>
    <w:rsid w:val="00BA5E84"/>
    <w:rsid w:val="00BA6D4F"/>
    <w:rsid w:val="00BB5D42"/>
    <w:rsid w:val="00BB6A8D"/>
    <w:rsid w:val="00BD32B2"/>
    <w:rsid w:val="00BD3A67"/>
    <w:rsid w:val="00BD3AB7"/>
    <w:rsid w:val="00BD670F"/>
    <w:rsid w:val="00BE0181"/>
    <w:rsid w:val="00BE1C93"/>
    <w:rsid w:val="00BE4FBF"/>
    <w:rsid w:val="00BE5561"/>
    <w:rsid w:val="00BE6531"/>
    <w:rsid w:val="00BE6A5C"/>
    <w:rsid w:val="00BE6A7B"/>
    <w:rsid w:val="00BE75E9"/>
    <w:rsid w:val="00BF4E34"/>
    <w:rsid w:val="00C04C5A"/>
    <w:rsid w:val="00C04E61"/>
    <w:rsid w:val="00C078E7"/>
    <w:rsid w:val="00C11674"/>
    <w:rsid w:val="00C14CE7"/>
    <w:rsid w:val="00C15773"/>
    <w:rsid w:val="00C17A6C"/>
    <w:rsid w:val="00C17C6D"/>
    <w:rsid w:val="00C246DB"/>
    <w:rsid w:val="00C257CD"/>
    <w:rsid w:val="00C275A6"/>
    <w:rsid w:val="00C32CE4"/>
    <w:rsid w:val="00C33550"/>
    <w:rsid w:val="00C34A7E"/>
    <w:rsid w:val="00C36161"/>
    <w:rsid w:val="00C41A9B"/>
    <w:rsid w:val="00C41FA3"/>
    <w:rsid w:val="00C4389F"/>
    <w:rsid w:val="00C47746"/>
    <w:rsid w:val="00C50899"/>
    <w:rsid w:val="00C50A98"/>
    <w:rsid w:val="00C53456"/>
    <w:rsid w:val="00C6156F"/>
    <w:rsid w:val="00C6370D"/>
    <w:rsid w:val="00C73749"/>
    <w:rsid w:val="00C73941"/>
    <w:rsid w:val="00C77622"/>
    <w:rsid w:val="00C810C6"/>
    <w:rsid w:val="00C90774"/>
    <w:rsid w:val="00C915F2"/>
    <w:rsid w:val="00C91FBE"/>
    <w:rsid w:val="00C93550"/>
    <w:rsid w:val="00C952E1"/>
    <w:rsid w:val="00C95557"/>
    <w:rsid w:val="00CA04BC"/>
    <w:rsid w:val="00CA35C8"/>
    <w:rsid w:val="00CA4027"/>
    <w:rsid w:val="00CA4445"/>
    <w:rsid w:val="00CA5B02"/>
    <w:rsid w:val="00CA72C8"/>
    <w:rsid w:val="00CB2CE7"/>
    <w:rsid w:val="00CB4754"/>
    <w:rsid w:val="00CB525F"/>
    <w:rsid w:val="00CC42CE"/>
    <w:rsid w:val="00CC69E8"/>
    <w:rsid w:val="00CD0D48"/>
    <w:rsid w:val="00CD29AA"/>
    <w:rsid w:val="00CD54B8"/>
    <w:rsid w:val="00CD70A3"/>
    <w:rsid w:val="00CD740A"/>
    <w:rsid w:val="00CE0E0F"/>
    <w:rsid w:val="00CE3EDA"/>
    <w:rsid w:val="00CE487E"/>
    <w:rsid w:val="00CE5F06"/>
    <w:rsid w:val="00CE6358"/>
    <w:rsid w:val="00CE6D45"/>
    <w:rsid w:val="00CF1148"/>
    <w:rsid w:val="00CF1D29"/>
    <w:rsid w:val="00CF3A4D"/>
    <w:rsid w:val="00CF5224"/>
    <w:rsid w:val="00CF5451"/>
    <w:rsid w:val="00CF59D5"/>
    <w:rsid w:val="00CF74F4"/>
    <w:rsid w:val="00CF787D"/>
    <w:rsid w:val="00D0095E"/>
    <w:rsid w:val="00D11E48"/>
    <w:rsid w:val="00D12A3B"/>
    <w:rsid w:val="00D14760"/>
    <w:rsid w:val="00D15A5C"/>
    <w:rsid w:val="00D171FB"/>
    <w:rsid w:val="00D17565"/>
    <w:rsid w:val="00D25D03"/>
    <w:rsid w:val="00D261BC"/>
    <w:rsid w:val="00D31022"/>
    <w:rsid w:val="00D34C93"/>
    <w:rsid w:val="00D40984"/>
    <w:rsid w:val="00D419F2"/>
    <w:rsid w:val="00D4445D"/>
    <w:rsid w:val="00D52D7C"/>
    <w:rsid w:val="00D532ED"/>
    <w:rsid w:val="00D53617"/>
    <w:rsid w:val="00D56959"/>
    <w:rsid w:val="00D60209"/>
    <w:rsid w:val="00D64BEC"/>
    <w:rsid w:val="00D65E59"/>
    <w:rsid w:val="00D6701C"/>
    <w:rsid w:val="00D72E85"/>
    <w:rsid w:val="00D73EC9"/>
    <w:rsid w:val="00D755B5"/>
    <w:rsid w:val="00D77A0E"/>
    <w:rsid w:val="00D80CAA"/>
    <w:rsid w:val="00D92192"/>
    <w:rsid w:val="00D939C5"/>
    <w:rsid w:val="00D93B4C"/>
    <w:rsid w:val="00D93FE0"/>
    <w:rsid w:val="00D9495C"/>
    <w:rsid w:val="00D94F11"/>
    <w:rsid w:val="00D958A9"/>
    <w:rsid w:val="00D96883"/>
    <w:rsid w:val="00DA0E91"/>
    <w:rsid w:val="00DA23B6"/>
    <w:rsid w:val="00DA463A"/>
    <w:rsid w:val="00DA47AA"/>
    <w:rsid w:val="00DA5C60"/>
    <w:rsid w:val="00DA6B0A"/>
    <w:rsid w:val="00DA7693"/>
    <w:rsid w:val="00DB20FE"/>
    <w:rsid w:val="00DB359B"/>
    <w:rsid w:val="00DC6C07"/>
    <w:rsid w:val="00DC6CF1"/>
    <w:rsid w:val="00DC7C40"/>
    <w:rsid w:val="00DD3017"/>
    <w:rsid w:val="00DD5084"/>
    <w:rsid w:val="00DD64E0"/>
    <w:rsid w:val="00DD687C"/>
    <w:rsid w:val="00DE0AA2"/>
    <w:rsid w:val="00DE16FF"/>
    <w:rsid w:val="00DE3B6F"/>
    <w:rsid w:val="00DE4598"/>
    <w:rsid w:val="00DE571B"/>
    <w:rsid w:val="00DE74ED"/>
    <w:rsid w:val="00DE7A58"/>
    <w:rsid w:val="00DE7BA4"/>
    <w:rsid w:val="00DF0CAB"/>
    <w:rsid w:val="00DF14B0"/>
    <w:rsid w:val="00DF1E29"/>
    <w:rsid w:val="00DF214F"/>
    <w:rsid w:val="00DF2C92"/>
    <w:rsid w:val="00DF2CA3"/>
    <w:rsid w:val="00DF4918"/>
    <w:rsid w:val="00DF7720"/>
    <w:rsid w:val="00DF7BA5"/>
    <w:rsid w:val="00E022F6"/>
    <w:rsid w:val="00E022FF"/>
    <w:rsid w:val="00E024DE"/>
    <w:rsid w:val="00E037E3"/>
    <w:rsid w:val="00E05901"/>
    <w:rsid w:val="00E07CDF"/>
    <w:rsid w:val="00E154C0"/>
    <w:rsid w:val="00E174B3"/>
    <w:rsid w:val="00E2049B"/>
    <w:rsid w:val="00E209D8"/>
    <w:rsid w:val="00E231B6"/>
    <w:rsid w:val="00E31582"/>
    <w:rsid w:val="00E417FF"/>
    <w:rsid w:val="00E4534F"/>
    <w:rsid w:val="00E465A0"/>
    <w:rsid w:val="00E527FF"/>
    <w:rsid w:val="00E530BE"/>
    <w:rsid w:val="00E55782"/>
    <w:rsid w:val="00E608E7"/>
    <w:rsid w:val="00E63732"/>
    <w:rsid w:val="00E679F6"/>
    <w:rsid w:val="00E715D0"/>
    <w:rsid w:val="00E715DE"/>
    <w:rsid w:val="00E728AB"/>
    <w:rsid w:val="00E75F48"/>
    <w:rsid w:val="00E803C1"/>
    <w:rsid w:val="00E84439"/>
    <w:rsid w:val="00E85608"/>
    <w:rsid w:val="00E85895"/>
    <w:rsid w:val="00E87007"/>
    <w:rsid w:val="00E90ECF"/>
    <w:rsid w:val="00E9281F"/>
    <w:rsid w:val="00EA7448"/>
    <w:rsid w:val="00EB3CEB"/>
    <w:rsid w:val="00EB5F0D"/>
    <w:rsid w:val="00EC0F56"/>
    <w:rsid w:val="00EC172A"/>
    <w:rsid w:val="00EC193A"/>
    <w:rsid w:val="00EC47FC"/>
    <w:rsid w:val="00EC68D2"/>
    <w:rsid w:val="00EC699B"/>
    <w:rsid w:val="00ED4A99"/>
    <w:rsid w:val="00ED50E4"/>
    <w:rsid w:val="00EF0A0A"/>
    <w:rsid w:val="00EF14F0"/>
    <w:rsid w:val="00EF314E"/>
    <w:rsid w:val="00EF591C"/>
    <w:rsid w:val="00F024E3"/>
    <w:rsid w:val="00F03C75"/>
    <w:rsid w:val="00F059CB"/>
    <w:rsid w:val="00F06E41"/>
    <w:rsid w:val="00F12480"/>
    <w:rsid w:val="00F135BC"/>
    <w:rsid w:val="00F14535"/>
    <w:rsid w:val="00F2010E"/>
    <w:rsid w:val="00F20CD7"/>
    <w:rsid w:val="00F20F1C"/>
    <w:rsid w:val="00F250AB"/>
    <w:rsid w:val="00F26A5B"/>
    <w:rsid w:val="00F323FF"/>
    <w:rsid w:val="00F3582D"/>
    <w:rsid w:val="00F40580"/>
    <w:rsid w:val="00F43155"/>
    <w:rsid w:val="00F46A81"/>
    <w:rsid w:val="00F5136F"/>
    <w:rsid w:val="00F55F18"/>
    <w:rsid w:val="00F5658B"/>
    <w:rsid w:val="00F67923"/>
    <w:rsid w:val="00F81799"/>
    <w:rsid w:val="00F82416"/>
    <w:rsid w:val="00F82DAB"/>
    <w:rsid w:val="00F841CD"/>
    <w:rsid w:val="00F84FE6"/>
    <w:rsid w:val="00F855D3"/>
    <w:rsid w:val="00F86FF1"/>
    <w:rsid w:val="00F92505"/>
    <w:rsid w:val="00F94986"/>
    <w:rsid w:val="00F96781"/>
    <w:rsid w:val="00FA08A2"/>
    <w:rsid w:val="00FA351A"/>
    <w:rsid w:val="00FA406B"/>
    <w:rsid w:val="00FA7790"/>
    <w:rsid w:val="00FA7EFD"/>
    <w:rsid w:val="00FB498B"/>
    <w:rsid w:val="00FB64C6"/>
    <w:rsid w:val="00FB7793"/>
    <w:rsid w:val="00FD15D0"/>
    <w:rsid w:val="00FD16D8"/>
    <w:rsid w:val="00FD4F1B"/>
    <w:rsid w:val="00FD6E63"/>
    <w:rsid w:val="00FE36CC"/>
    <w:rsid w:val="00FE5CFF"/>
    <w:rsid w:val="00FE6D5E"/>
    <w:rsid w:val="00FF6B06"/>
    <w:rsid w:val="00FF77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F43114"/>
  <w15:docId w15:val="{1233BDAA-AFAE-4D28-A7DE-4379CF248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6">
    <w:name w:val="heading 6"/>
    <w:basedOn w:val="Normal"/>
    <w:next w:val="Normal"/>
    <w:link w:val="Heading6Char"/>
    <w:qFormat/>
    <w:rsid w:val="0080706D"/>
    <w:pPr>
      <w:keepNext/>
      <w:spacing w:after="0" w:line="240" w:lineRule="auto"/>
      <w:outlineLvl w:val="5"/>
    </w:pPr>
    <w:rPr>
      <w:rFonts w:ascii="Arial" w:eastAsia="Times New Roman" w:hAnsi="Arial"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34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07EB4"/>
    <w:rPr>
      <w:color w:val="0563C1" w:themeColor="hyperlink"/>
      <w:u w:val="single"/>
    </w:rPr>
  </w:style>
  <w:style w:type="paragraph" w:styleId="ListParagraph">
    <w:name w:val="List Paragraph"/>
    <w:basedOn w:val="Normal"/>
    <w:uiPriority w:val="34"/>
    <w:qFormat/>
    <w:rsid w:val="00E87007"/>
    <w:pPr>
      <w:ind w:left="720"/>
      <w:contextualSpacing/>
    </w:pPr>
  </w:style>
  <w:style w:type="character" w:styleId="FollowedHyperlink">
    <w:name w:val="FollowedHyperlink"/>
    <w:basedOn w:val="DefaultParagraphFont"/>
    <w:uiPriority w:val="99"/>
    <w:semiHidden/>
    <w:unhideWhenUsed/>
    <w:rsid w:val="00AC41E1"/>
    <w:rPr>
      <w:color w:val="954F72" w:themeColor="followedHyperlink"/>
      <w:u w:val="single"/>
    </w:rPr>
  </w:style>
  <w:style w:type="paragraph" w:styleId="Header">
    <w:name w:val="header"/>
    <w:basedOn w:val="Normal"/>
    <w:link w:val="HeaderChar"/>
    <w:uiPriority w:val="99"/>
    <w:unhideWhenUsed/>
    <w:rsid w:val="00476F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6FC4"/>
  </w:style>
  <w:style w:type="paragraph" w:styleId="Footer">
    <w:name w:val="footer"/>
    <w:basedOn w:val="Normal"/>
    <w:link w:val="FooterChar"/>
    <w:uiPriority w:val="99"/>
    <w:unhideWhenUsed/>
    <w:rsid w:val="00476F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6FC4"/>
  </w:style>
  <w:style w:type="character" w:customStyle="1" w:styleId="Heading6Char">
    <w:name w:val="Heading 6 Char"/>
    <w:basedOn w:val="DefaultParagraphFont"/>
    <w:link w:val="Heading6"/>
    <w:rsid w:val="0080706D"/>
    <w:rPr>
      <w:rFonts w:ascii="Arial" w:eastAsia="Times New Roman" w:hAnsi="Arial" w:cs="Times New Roman"/>
      <w:b/>
      <w:szCs w:val="24"/>
    </w:rPr>
  </w:style>
  <w:style w:type="paragraph" w:styleId="BalloonText">
    <w:name w:val="Balloon Text"/>
    <w:basedOn w:val="Normal"/>
    <w:link w:val="BalloonTextChar"/>
    <w:uiPriority w:val="99"/>
    <w:semiHidden/>
    <w:unhideWhenUsed/>
    <w:rsid w:val="00414F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F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325952">
      <w:bodyDiv w:val="1"/>
      <w:marLeft w:val="0"/>
      <w:marRight w:val="0"/>
      <w:marTop w:val="0"/>
      <w:marBottom w:val="0"/>
      <w:divBdr>
        <w:top w:val="none" w:sz="0" w:space="0" w:color="auto"/>
        <w:left w:val="none" w:sz="0" w:space="0" w:color="auto"/>
        <w:bottom w:val="none" w:sz="0" w:space="0" w:color="auto"/>
        <w:right w:val="none" w:sz="0" w:space="0" w:color="auto"/>
      </w:divBdr>
    </w:div>
    <w:div w:id="1014452000">
      <w:bodyDiv w:val="1"/>
      <w:marLeft w:val="0"/>
      <w:marRight w:val="0"/>
      <w:marTop w:val="0"/>
      <w:marBottom w:val="0"/>
      <w:divBdr>
        <w:top w:val="none" w:sz="0" w:space="0" w:color="auto"/>
        <w:left w:val="none" w:sz="0" w:space="0" w:color="auto"/>
        <w:bottom w:val="none" w:sz="0" w:space="0" w:color="auto"/>
        <w:right w:val="none" w:sz="0" w:space="0" w:color="auto"/>
      </w:divBdr>
    </w:div>
    <w:div w:id="114112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8F3B0-E1AA-4D11-9FDA-291774DEA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1440</Words>
  <Characters>8214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Arnold</dc:creator>
  <cp:keywords/>
  <dc:description/>
  <cp:lastModifiedBy>Gross, Jonathan A</cp:lastModifiedBy>
  <cp:revision>2</cp:revision>
  <dcterms:created xsi:type="dcterms:W3CDTF">2017-05-11T14:41:00Z</dcterms:created>
  <dcterms:modified xsi:type="dcterms:W3CDTF">2017-05-11T14:41:00Z</dcterms:modified>
</cp:coreProperties>
</file>